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993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268"/>
        <w:gridCol w:w="2693"/>
        <w:gridCol w:w="5719"/>
        <w:gridCol w:w="1440"/>
        <w:gridCol w:w="1899"/>
      </w:tblGrid>
      <w:tr w:rsidR="007B04A0" w:rsidRPr="006B4429" w14:paraId="7BE84A48" w14:textId="77777777" w:rsidTr="007B04A0"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</w:tcPr>
          <w:p w14:paraId="76227F36" w14:textId="1D2056AF" w:rsidR="007B04A0" w:rsidRPr="007B04A0" w:rsidRDefault="00C048F0" w:rsidP="00476C93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>
              <w:rPr>
                <w:rFonts w:ascii="Segoe UI" w:hAnsi="Segoe UI" w:cs="Segoe UI"/>
                <w:color w:val="A60D85"/>
                <w:sz w:val="20"/>
                <w:szCs w:val="20"/>
              </w:rPr>
              <w:t>Ref. no.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7399F" w14:textId="56AA4C40" w:rsidR="007B04A0" w:rsidRPr="006B4429" w:rsidRDefault="00EF659E" w:rsidP="00C048F0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HS04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</w:tcPr>
          <w:p w14:paraId="0CEA5E1C" w14:textId="4EE05321" w:rsidR="007B04A0" w:rsidRPr="007B04A0" w:rsidRDefault="00C048F0" w:rsidP="00476C93">
            <w:pPr>
              <w:spacing w:before="60" w:after="60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>
              <w:rPr>
                <w:rFonts w:ascii="Segoe UI" w:hAnsi="Segoe UI" w:cs="Segoe UI"/>
                <w:color w:val="A60D85"/>
                <w:sz w:val="20"/>
                <w:szCs w:val="20"/>
              </w:rPr>
              <w:t>Task / Activity / Process</w:t>
            </w:r>
          </w:p>
        </w:tc>
        <w:tc>
          <w:tcPr>
            <w:tcW w:w="5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90761" w14:textId="5763385E" w:rsidR="007B04A0" w:rsidRPr="006B4429" w:rsidRDefault="00C048F0" w:rsidP="00C048F0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Needlesticks and sharps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</w:tcPr>
          <w:p w14:paraId="3F0CD859" w14:textId="256F3B8A" w:rsidR="007B04A0" w:rsidRPr="007B04A0" w:rsidRDefault="00C048F0" w:rsidP="00476C93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>
              <w:rPr>
                <w:rFonts w:ascii="Segoe UI" w:hAnsi="Segoe UI" w:cs="Segoe UI"/>
                <w:color w:val="A60D85"/>
                <w:sz w:val="20"/>
                <w:szCs w:val="20"/>
              </w:rPr>
              <w:t>Date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4AC71" w14:textId="673C6754" w:rsidR="007B04A0" w:rsidRPr="006B4429" w:rsidRDefault="00C048F0" w:rsidP="00476C93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July 202</w:t>
            </w:r>
            <w:r w:rsidR="00C92C66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</w:tr>
      <w:tr w:rsidR="00C048F0" w:rsidRPr="006B4429" w14:paraId="0DC235C9" w14:textId="77777777" w:rsidTr="007B04A0"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</w:tcPr>
          <w:p w14:paraId="1976A744" w14:textId="6678FDE5" w:rsidR="00C048F0" w:rsidRPr="007B04A0" w:rsidRDefault="00C048F0" w:rsidP="00C048F0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7B04A0">
              <w:rPr>
                <w:rFonts w:ascii="Segoe UI" w:hAnsi="Segoe UI" w:cs="Segoe UI"/>
                <w:color w:val="A60D85"/>
                <w:sz w:val="20"/>
                <w:szCs w:val="20"/>
              </w:rPr>
              <w:t>Risk Assessor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9FF6" w14:textId="60116AB4" w:rsidR="00C048F0" w:rsidRPr="006B4429" w:rsidRDefault="00400D58" w:rsidP="00C048F0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Health and Safety Manager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999999"/>
              <w:right w:val="single" w:sz="8" w:space="0" w:color="auto"/>
            </w:tcBorders>
            <w:shd w:val="clear" w:color="auto" w:fill="CDCDCD"/>
            <w:vAlign w:val="center"/>
          </w:tcPr>
          <w:p w14:paraId="0B348C6B" w14:textId="4AA06D07" w:rsidR="00C048F0" w:rsidRPr="007B04A0" w:rsidRDefault="00C048F0" w:rsidP="00C048F0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>
              <w:rPr>
                <w:rFonts w:ascii="Segoe UI" w:hAnsi="Segoe UI" w:cs="Segoe UI"/>
                <w:color w:val="A60D85"/>
                <w:sz w:val="20"/>
                <w:szCs w:val="20"/>
              </w:rPr>
              <w:t>Scope (brief description of the task / activity / process assessed)</w:t>
            </w:r>
          </w:p>
        </w:tc>
        <w:tc>
          <w:tcPr>
            <w:tcW w:w="5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B95A5" w14:textId="7F4EE996" w:rsidR="00C048F0" w:rsidRPr="006B4429" w:rsidRDefault="00C92C66" w:rsidP="00C048F0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Colleagues who may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come into contact with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needlestick or sharps during any working activity.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999999"/>
              <w:right w:val="single" w:sz="8" w:space="0" w:color="auto"/>
            </w:tcBorders>
            <w:shd w:val="clear" w:color="auto" w:fill="CDCDCD"/>
            <w:vAlign w:val="center"/>
          </w:tcPr>
          <w:p w14:paraId="43A8E4A9" w14:textId="77777777" w:rsidR="00C048F0" w:rsidRPr="007B04A0" w:rsidRDefault="00C048F0" w:rsidP="00C048F0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7B04A0">
              <w:rPr>
                <w:rFonts w:ascii="Segoe UI" w:hAnsi="Segoe UI" w:cs="Segoe UI"/>
                <w:color w:val="A60D85"/>
                <w:sz w:val="20"/>
                <w:szCs w:val="20"/>
              </w:rPr>
              <w:t>Review Date</w:t>
            </w:r>
          </w:p>
        </w:tc>
        <w:tc>
          <w:tcPr>
            <w:tcW w:w="18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58FBD7" w14:textId="3A8F76CC" w:rsidR="00C048F0" w:rsidRPr="006B4429" w:rsidRDefault="00C048F0" w:rsidP="00C048F0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July 202</w:t>
            </w:r>
            <w:r w:rsidR="00C92C66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</w:tr>
      <w:tr w:rsidR="007B04A0" w:rsidRPr="00AA6415" w14:paraId="77CD6995" w14:textId="77777777" w:rsidTr="007B04A0"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</w:tcPr>
          <w:p w14:paraId="6E9608DA" w14:textId="6BF0EE76" w:rsidR="007B04A0" w:rsidRPr="007B04A0" w:rsidRDefault="00C048F0" w:rsidP="00476C93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>
              <w:rPr>
                <w:rFonts w:ascii="Segoe UI" w:hAnsi="Segoe UI" w:cs="Segoe UI"/>
                <w:color w:val="A60D85"/>
                <w:sz w:val="20"/>
                <w:szCs w:val="20"/>
              </w:rPr>
              <w:t>Location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E932D" w14:textId="62BF7EE2" w:rsidR="007B04A0" w:rsidRPr="009A21D8" w:rsidRDefault="00C048F0" w:rsidP="00C048F0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92C66">
              <w:rPr>
                <w:rFonts w:ascii="Segoe UI" w:hAnsi="Segoe UI" w:cs="Segoe UI"/>
                <w:sz w:val="20"/>
                <w:szCs w:val="20"/>
              </w:rPr>
              <w:t>Organisation-wide (risk assessors are expected to tailor this risk assessment around their team’s / area of the business’ needs and share it locally)</w:t>
            </w:r>
          </w:p>
        </w:tc>
        <w:tc>
          <w:tcPr>
            <w:tcW w:w="2693" w:type="dxa"/>
            <w:vMerge/>
            <w:tcBorders>
              <w:top w:val="single" w:sz="12" w:space="0" w:color="99999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</w:tcPr>
          <w:p w14:paraId="51C0E21D" w14:textId="77777777" w:rsidR="007B04A0" w:rsidRPr="00AA6415" w:rsidRDefault="007B04A0" w:rsidP="00476C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F5849" w14:textId="77777777" w:rsidR="007B04A0" w:rsidRPr="00AA6415" w:rsidRDefault="007B04A0" w:rsidP="00476C93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12" w:space="0" w:color="99999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</w:tcPr>
          <w:p w14:paraId="34DADBFC" w14:textId="77777777" w:rsidR="007B04A0" w:rsidRPr="00AA6415" w:rsidRDefault="007B04A0" w:rsidP="00476C9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628F0" w14:textId="77777777" w:rsidR="007B04A0" w:rsidRPr="00AA6415" w:rsidRDefault="007B04A0" w:rsidP="00476C9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6" w:tblpY="289"/>
        <w:tblW w:w="15848" w:type="dxa"/>
        <w:tblLook w:val="04A0" w:firstRow="1" w:lastRow="0" w:firstColumn="1" w:lastColumn="0" w:noHBand="0" w:noVBand="1"/>
      </w:tblPr>
      <w:tblGrid>
        <w:gridCol w:w="2389"/>
        <w:gridCol w:w="2279"/>
        <w:gridCol w:w="4670"/>
        <w:gridCol w:w="2611"/>
        <w:gridCol w:w="1070"/>
        <w:gridCol w:w="1293"/>
        <w:gridCol w:w="1536"/>
      </w:tblGrid>
      <w:tr w:rsidR="00E54DA5" w14:paraId="5364236F" w14:textId="77777777" w:rsidTr="00F562BF">
        <w:trPr>
          <w:trHeight w:val="353"/>
        </w:trPr>
        <w:tc>
          <w:tcPr>
            <w:tcW w:w="2389" w:type="dxa"/>
            <w:vMerge w:val="restart"/>
            <w:shd w:val="clear" w:color="auto" w:fill="CDCDCD"/>
          </w:tcPr>
          <w:p w14:paraId="1E5876A3" w14:textId="77777777" w:rsidR="00DA2DAE" w:rsidRPr="009955E3" w:rsidRDefault="00DA2DAE" w:rsidP="00C048F0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Hazard</w:t>
            </w:r>
          </w:p>
        </w:tc>
        <w:tc>
          <w:tcPr>
            <w:tcW w:w="2279" w:type="dxa"/>
            <w:vMerge w:val="restart"/>
            <w:tcBorders>
              <w:bottom w:val="single" w:sz="4" w:space="0" w:color="auto"/>
            </w:tcBorders>
            <w:shd w:val="clear" w:color="auto" w:fill="CDCDCD"/>
          </w:tcPr>
          <w:p w14:paraId="42CC0848" w14:textId="77777777" w:rsidR="00DA2DAE" w:rsidRPr="009955E3" w:rsidRDefault="00DA2DAE" w:rsidP="00C048F0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Who can be harmed and how</w:t>
            </w:r>
          </w:p>
        </w:tc>
        <w:tc>
          <w:tcPr>
            <w:tcW w:w="4670" w:type="dxa"/>
            <w:vMerge w:val="restart"/>
            <w:shd w:val="clear" w:color="auto" w:fill="CDCDCD"/>
          </w:tcPr>
          <w:p w14:paraId="28668D6C" w14:textId="04F34375" w:rsidR="00DA2DAE" w:rsidRPr="009955E3" w:rsidRDefault="00DA2DAE" w:rsidP="00C048F0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 xml:space="preserve">Current </w:t>
            </w:r>
            <w:r w:rsidR="00C048F0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c</w:t>
            </w: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ontrols</w:t>
            </w:r>
          </w:p>
        </w:tc>
        <w:tc>
          <w:tcPr>
            <w:tcW w:w="2611" w:type="dxa"/>
            <w:vMerge w:val="restart"/>
            <w:shd w:val="clear" w:color="auto" w:fill="CDCDCD"/>
          </w:tcPr>
          <w:p w14:paraId="014C24DB" w14:textId="77777777" w:rsidR="00DA2DAE" w:rsidRPr="009955E3" w:rsidRDefault="00DA2DAE" w:rsidP="00C048F0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 xml:space="preserve">Extra </w:t>
            </w:r>
            <w:r w:rsidR="0041179C"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controls required</w:t>
            </w:r>
          </w:p>
        </w:tc>
        <w:tc>
          <w:tcPr>
            <w:tcW w:w="3899" w:type="dxa"/>
            <w:gridSpan w:val="3"/>
            <w:shd w:val="clear" w:color="auto" w:fill="CDCDCD"/>
          </w:tcPr>
          <w:p w14:paraId="612E9702" w14:textId="77777777" w:rsidR="00DA2DAE" w:rsidRPr="009955E3" w:rsidRDefault="00DA2DAE" w:rsidP="006449EC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Actions</w:t>
            </w:r>
          </w:p>
        </w:tc>
      </w:tr>
      <w:tr w:rsidR="00342319" w14:paraId="3C0F2E78" w14:textId="77777777" w:rsidTr="001D5009">
        <w:trPr>
          <w:trHeight w:val="352"/>
        </w:trPr>
        <w:tc>
          <w:tcPr>
            <w:tcW w:w="2389" w:type="dxa"/>
            <w:vMerge/>
            <w:shd w:val="clear" w:color="auto" w:fill="CDCDCD"/>
          </w:tcPr>
          <w:p w14:paraId="43B03A5B" w14:textId="77777777" w:rsidR="00DA2DAE" w:rsidRPr="009955E3" w:rsidRDefault="00DA2DAE" w:rsidP="00DA2DAE">
            <w:pPr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  <w:shd w:val="clear" w:color="auto" w:fill="CDCDCD"/>
          </w:tcPr>
          <w:p w14:paraId="5ABB9783" w14:textId="77777777" w:rsidR="00DA2DAE" w:rsidRPr="009955E3" w:rsidRDefault="00DA2DAE" w:rsidP="00DA2DAE">
            <w:pPr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</w:p>
        </w:tc>
        <w:tc>
          <w:tcPr>
            <w:tcW w:w="4670" w:type="dxa"/>
            <w:vMerge/>
            <w:shd w:val="clear" w:color="auto" w:fill="CDCDCD"/>
          </w:tcPr>
          <w:p w14:paraId="69B0705A" w14:textId="77777777" w:rsidR="00DA2DAE" w:rsidRPr="009955E3" w:rsidRDefault="00DA2DAE" w:rsidP="00DA2DAE">
            <w:pPr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</w:p>
        </w:tc>
        <w:tc>
          <w:tcPr>
            <w:tcW w:w="2611" w:type="dxa"/>
            <w:vMerge/>
            <w:shd w:val="clear" w:color="auto" w:fill="CDCDCD"/>
          </w:tcPr>
          <w:p w14:paraId="30D31EE3" w14:textId="77777777" w:rsidR="00DA2DAE" w:rsidRPr="009955E3" w:rsidRDefault="00DA2DAE" w:rsidP="00DA2DAE">
            <w:pPr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CDCDCD"/>
          </w:tcPr>
          <w:p w14:paraId="2E54BD69" w14:textId="77777777" w:rsidR="00DA2DAE" w:rsidRPr="009955E3" w:rsidRDefault="006449EC" w:rsidP="00222A17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Who</w:t>
            </w:r>
          </w:p>
        </w:tc>
        <w:tc>
          <w:tcPr>
            <w:tcW w:w="1293" w:type="dxa"/>
            <w:shd w:val="clear" w:color="auto" w:fill="CDCDCD"/>
          </w:tcPr>
          <w:p w14:paraId="03F341E9" w14:textId="6B215072" w:rsidR="00DA2DAE" w:rsidRPr="009955E3" w:rsidRDefault="00222A17" w:rsidP="00222A17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 xml:space="preserve">By </w:t>
            </w:r>
            <w:r w:rsidR="00C048F0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w</w:t>
            </w:r>
            <w:r w:rsidR="006449EC"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hen</w:t>
            </w:r>
          </w:p>
        </w:tc>
        <w:tc>
          <w:tcPr>
            <w:tcW w:w="1536" w:type="dxa"/>
            <w:shd w:val="clear" w:color="auto" w:fill="CDCDCD"/>
          </w:tcPr>
          <w:p w14:paraId="2634362D" w14:textId="781825D7" w:rsidR="00DA2DAE" w:rsidRPr="009955E3" w:rsidRDefault="006449EC" w:rsidP="00222A17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Complete</w:t>
            </w:r>
            <w:r w:rsidR="00C048F0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d</w:t>
            </w:r>
          </w:p>
        </w:tc>
      </w:tr>
      <w:tr w:rsidR="00342319" w14:paraId="68AE5CAB" w14:textId="77777777" w:rsidTr="001D5009">
        <w:trPr>
          <w:trHeight w:val="380"/>
        </w:trPr>
        <w:tc>
          <w:tcPr>
            <w:tcW w:w="2389" w:type="dxa"/>
          </w:tcPr>
          <w:p w14:paraId="10D2C9B5" w14:textId="7B31B465" w:rsidR="009C5204" w:rsidRPr="006B4429" w:rsidRDefault="00374A6F" w:rsidP="009C520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Suspected presence of needlestick/sharp</w:t>
            </w:r>
            <w:r w:rsidR="00E876B9">
              <w:rPr>
                <w:rFonts w:ascii="Segoe UI" w:hAnsi="Segoe UI" w:cs="Segoe UI"/>
                <w:sz w:val="20"/>
                <w:szCs w:val="20"/>
              </w:rPr>
              <w:t xml:space="preserve"> (e.g. trespassing, cu</w:t>
            </w:r>
            <w:r w:rsidR="00E876B9" w:rsidRPr="009B2B1F">
              <w:rPr>
                <w:rFonts w:ascii="Segoe UI" w:hAnsi="Segoe UI" w:cs="Segoe UI"/>
                <w:sz w:val="20"/>
                <w:szCs w:val="20"/>
              </w:rPr>
              <w:t>ckooing</w:t>
            </w:r>
            <w:r w:rsidR="00E876B9">
              <w:rPr>
                <w:rFonts w:ascii="Segoe UI" w:hAnsi="Segoe UI" w:cs="Segoe UI"/>
                <w:sz w:val="20"/>
                <w:szCs w:val="20"/>
              </w:rPr>
              <w:t>, change in personal lifestyle, etc.)</w:t>
            </w:r>
          </w:p>
        </w:tc>
        <w:tc>
          <w:tcPr>
            <w:tcW w:w="2279" w:type="dxa"/>
          </w:tcPr>
          <w:p w14:paraId="115D99B3" w14:textId="70E3CFE8" w:rsidR="009C5204" w:rsidRDefault="00374A6F" w:rsidP="006B442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Staff, contractors, </w:t>
            </w:r>
            <w:r w:rsidR="00331891">
              <w:rPr>
                <w:rFonts w:ascii="Segoe UI" w:hAnsi="Segoe UI" w:cs="Segoe UI"/>
                <w:sz w:val="20"/>
                <w:szCs w:val="20"/>
              </w:rPr>
              <w:t>tenants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961DED">
              <w:rPr>
                <w:rFonts w:ascii="Segoe UI" w:hAnsi="Segoe UI" w:cs="Segoe UI"/>
                <w:sz w:val="20"/>
                <w:szCs w:val="20"/>
              </w:rPr>
              <w:t>visitors</w:t>
            </w:r>
          </w:p>
          <w:p w14:paraId="3CFC9111" w14:textId="77777777" w:rsidR="0064442C" w:rsidRDefault="0064442C" w:rsidP="006B442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190CD12" w14:textId="0C21FD86" w:rsidR="0064442C" w:rsidRPr="006B4429" w:rsidRDefault="0064442C" w:rsidP="006B442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Punctures and possibly contraction of blood-borne viruses, which might be linked to anxiety and stress.</w:t>
            </w:r>
          </w:p>
        </w:tc>
        <w:tc>
          <w:tcPr>
            <w:tcW w:w="4670" w:type="dxa"/>
          </w:tcPr>
          <w:p w14:paraId="407BA10E" w14:textId="0080B253" w:rsidR="00D246C7" w:rsidRDefault="009C4C93" w:rsidP="00374A6F">
            <w:pPr>
              <w:pStyle w:val="ListParagraph"/>
              <w:numPr>
                <w:ilvl w:val="0"/>
                <w:numId w:val="22"/>
              </w:numPr>
              <w:ind w:left="193" w:hanging="193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 case of</w:t>
            </w:r>
            <w:r w:rsidR="00374A6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suspected </w:t>
            </w:r>
            <w:r w:rsidR="00374A6F">
              <w:rPr>
                <w:rFonts w:ascii="Segoe UI" w:hAnsi="Segoe UI" w:cs="Segoe UI"/>
                <w:sz w:val="20"/>
                <w:szCs w:val="20"/>
              </w:rPr>
              <w:t>needlesticks/sharps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D246C7">
              <w:rPr>
                <w:rFonts w:ascii="Segoe UI" w:hAnsi="Segoe UI" w:cs="Segoe UI"/>
                <w:sz w:val="20"/>
                <w:szCs w:val="20"/>
              </w:rPr>
              <w:t>Line Manager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 are </w:t>
            </w:r>
            <w:r w:rsidR="00594225">
              <w:rPr>
                <w:rFonts w:ascii="Segoe UI" w:hAnsi="Segoe UI" w:cs="Segoe UI"/>
                <w:sz w:val="20"/>
                <w:szCs w:val="20"/>
              </w:rPr>
              <w:t>informed</w:t>
            </w:r>
            <w:r w:rsidR="00D246C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0151F">
              <w:rPr>
                <w:rFonts w:ascii="Segoe UI" w:hAnsi="Segoe UI" w:cs="Segoe UI"/>
                <w:sz w:val="20"/>
                <w:szCs w:val="20"/>
              </w:rPr>
              <w:t>immediately</w:t>
            </w:r>
            <w:r w:rsidR="00AE607A">
              <w:rPr>
                <w:rFonts w:ascii="Segoe UI" w:hAnsi="Segoe UI" w:cs="Segoe UI"/>
                <w:sz w:val="20"/>
                <w:szCs w:val="20"/>
              </w:rPr>
              <w:t>,</w:t>
            </w:r>
            <w:r w:rsidR="00700E02">
              <w:rPr>
                <w:rFonts w:ascii="Segoe UI" w:hAnsi="Segoe UI" w:cs="Segoe UI"/>
                <w:sz w:val="20"/>
                <w:szCs w:val="20"/>
              </w:rPr>
              <w:t xml:space="preserve"> and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246C7">
              <w:rPr>
                <w:rFonts w:ascii="Segoe UI" w:hAnsi="Segoe UI" w:cs="Segoe UI"/>
                <w:sz w:val="20"/>
                <w:szCs w:val="20"/>
              </w:rPr>
              <w:t xml:space="preserve">the concerned property/area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is not accessed </w:t>
            </w:r>
            <w:r w:rsidR="00D246C7">
              <w:rPr>
                <w:rFonts w:ascii="Segoe UI" w:hAnsi="Segoe UI" w:cs="Segoe UI"/>
                <w:sz w:val="20"/>
                <w:szCs w:val="20"/>
              </w:rPr>
              <w:t>until the risk has been assessed and controlled.</w:t>
            </w:r>
          </w:p>
          <w:p w14:paraId="4500C2DC" w14:textId="77786A96" w:rsidR="00A87E59" w:rsidRDefault="007C1E61" w:rsidP="00A87E59">
            <w:pPr>
              <w:pStyle w:val="ListParagraph"/>
              <w:numPr>
                <w:ilvl w:val="0"/>
                <w:numId w:val="22"/>
              </w:numPr>
              <w:ind w:left="193" w:hanging="193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Suspected presence of</w:t>
            </w:r>
            <w:r w:rsidR="009D1B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41C2E">
              <w:rPr>
                <w:rFonts w:ascii="Segoe UI" w:hAnsi="Segoe UI" w:cs="Segoe UI"/>
                <w:sz w:val="20"/>
                <w:szCs w:val="20"/>
              </w:rPr>
              <w:t>needlesticks/</w:t>
            </w:r>
            <w:r w:rsidR="009D1B0D">
              <w:rPr>
                <w:rFonts w:ascii="Segoe UI" w:hAnsi="Segoe UI" w:cs="Segoe UI"/>
                <w:sz w:val="20"/>
                <w:szCs w:val="20"/>
              </w:rPr>
              <w:t xml:space="preserve">sharps </w:t>
            </w:r>
            <w:r w:rsidR="00B0193D">
              <w:rPr>
                <w:rFonts w:ascii="Segoe UI" w:hAnsi="Segoe UI" w:cs="Segoe UI"/>
                <w:sz w:val="20"/>
                <w:szCs w:val="20"/>
              </w:rPr>
              <w:t>is effectively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D1B0D">
              <w:rPr>
                <w:rFonts w:ascii="Segoe UI" w:hAnsi="Segoe UI" w:cs="Segoe UI"/>
                <w:sz w:val="20"/>
                <w:szCs w:val="20"/>
              </w:rPr>
              <w:t>c</w:t>
            </w:r>
            <w:r w:rsidR="00D533D5">
              <w:rPr>
                <w:rFonts w:ascii="Segoe UI" w:hAnsi="Segoe UI" w:cs="Segoe UI"/>
                <w:sz w:val="20"/>
                <w:szCs w:val="20"/>
              </w:rPr>
              <w:t>ommunicate</w:t>
            </w:r>
            <w:r w:rsidR="009D1B0D">
              <w:rPr>
                <w:rFonts w:ascii="Segoe UI" w:hAnsi="Segoe UI" w:cs="Segoe UI"/>
                <w:sz w:val="20"/>
                <w:szCs w:val="20"/>
              </w:rPr>
              <w:t>d</w:t>
            </w:r>
            <w:r w:rsidR="00D533D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246C7">
              <w:rPr>
                <w:rFonts w:ascii="Segoe UI" w:hAnsi="Segoe UI" w:cs="Segoe UI"/>
                <w:sz w:val="20"/>
                <w:szCs w:val="20"/>
              </w:rPr>
              <w:t>to all relevant occupants to ensure they also do not enter the area until potential</w:t>
            </w:r>
            <w:r w:rsidR="00AD0263">
              <w:rPr>
                <w:rFonts w:ascii="Segoe UI" w:hAnsi="Segoe UI" w:cs="Segoe UI"/>
                <w:sz w:val="20"/>
                <w:szCs w:val="20"/>
              </w:rPr>
              <w:t xml:space="preserve"> r</w:t>
            </w:r>
            <w:r w:rsidR="00D246C7">
              <w:rPr>
                <w:rFonts w:ascii="Segoe UI" w:hAnsi="Segoe UI" w:cs="Segoe UI"/>
                <w:sz w:val="20"/>
                <w:szCs w:val="20"/>
              </w:rPr>
              <w:t>isk is ascertained and</w:t>
            </w:r>
            <w:r w:rsidR="00EF1113">
              <w:rPr>
                <w:rFonts w:ascii="Segoe UI" w:hAnsi="Segoe UI" w:cs="Segoe UI"/>
                <w:sz w:val="20"/>
                <w:szCs w:val="20"/>
              </w:rPr>
              <w:t xml:space="preserve"> eliminated</w:t>
            </w:r>
            <w:r w:rsidR="00AD0263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DC140E0" w14:textId="6A12811E" w:rsidR="006C735C" w:rsidRPr="00A87E59" w:rsidRDefault="00A87E59" w:rsidP="00A87E59">
            <w:pPr>
              <w:pStyle w:val="ListParagraph"/>
              <w:numPr>
                <w:ilvl w:val="0"/>
                <w:numId w:val="22"/>
              </w:numPr>
              <w:ind w:left="193" w:hanging="193"/>
              <w:rPr>
                <w:rFonts w:ascii="Segoe UI" w:hAnsi="Segoe UI" w:cs="Segoe UI"/>
                <w:sz w:val="20"/>
                <w:szCs w:val="20"/>
              </w:rPr>
            </w:pPr>
            <w:r w:rsidRPr="00A87E59">
              <w:rPr>
                <w:rFonts w:ascii="Segoe UI" w:hAnsi="Segoe UI" w:cs="Segoe UI"/>
                <w:sz w:val="20"/>
                <w:szCs w:val="20"/>
              </w:rPr>
              <w:t>Needlesticks and Sharps Guidance available on the intranet, detailing actions to take on finding a needlestick/sharp at work</w:t>
            </w:r>
            <w:r w:rsidR="00B92A7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87E59">
              <w:rPr>
                <w:rFonts w:ascii="Segoe UI" w:hAnsi="Segoe UI" w:cs="Segoe UI"/>
                <w:sz w:val="20"/>
                <w:szCs w:val="20"/>
              </w:rPr>
              <w:t>and actions to take if someone has been injured.</w:t>
            </w:r>
          </w:p>
        </w:tc>
        <w:tc>
          <w:tcPr>
            <w:tcW w:w="2611" w:type="dxa"/>
            <w:shd w:val="clear" w:color="auto" w:fill="FFFFFF"/>
          </w:tcPr>
          <w:p w14:paraId="49E279C3" w14:textId="3805A548" w:rsidR="009C5204" w:rsidRPr="006B4429" w:rsidRDefault="009C5204" w:rsidP="006B442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34B49639" w14:textId="39777D10" w:rsidR="006F4CE2" w:rsidRPr="006B4429" w:rsidRDefault="006F4CE2" w:rsidP="009C520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EF3C5DA" w14:textId="658BA64B" w:rsidR="009C5204" w:rsidRPr="006B4429" w:rsidRDefault="009C5204" w:rsidP="009C520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8F9F810" w14:textId="77777777" w:rsidR="009C5204" w:rsidRPr="006B4429" w:rsidRDefault="009C5204" w:rsidP="009C520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74A6F" w14:paraId="1C8FF965" w14:textId="77777777" w:rsidTr="001D5009">
        <w:trPr>
          <w:trHeight w:val="380"/>
        </w:trPr>
        <w:tc>
          <w:tcPr>
            <w:tcW w:w="2389" w:type="dxa"/>
          </w:tcPr>
          <w:p w14:paraId="5AACD7CA" w14:textId="0290C4AD" w:rsidR="00374A6F" w:rsidRDefault="0060054A" w:rsidP="00374A6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Confirmed presence of</w:t>
            </w:r>
            <w:r w:rsidR="00374A6F">
              <w:rPr>
                <w:rFonts w:ascii="Segoe UI" w:hAnsi="Segoe UI" w:cs="Segoe UI"/>
                <w:sz w:val="20"/>
                <w:szCs w:val="20"/>
              </w:rPr>
              <w:t xml:space="preserve"> needlestick</w:t>
            </w:r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r w:rsidR="00BC3B7A">
              <w:rPr>
                <w:rFonts w:ascii="Segoe UI" w:hAnsi="Segoe UI" w:cs="Segoe UI"/>
                <w:sz w:val="20"/>
                <w:szCs w:val="20"/>
              </w:rPr>
              <w:t>sharp</w:t>
            </w:r>
            <w:r w:rsidR="00B76A30">
              <w:rPr>
                <w:rFonts w:ascii="Segoe UI" w:hAnsi="Segoe UI" w:cs="Segoe UI"/>
                <w:sz w:val="20"/>
                <w:szCs w:val="20"/>
              </w:rPr>
              <w:t xml:space="preserve"> (e.g.</w:t>
            </w:r>
            <w:r w:rsidR="000B1A8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C167F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medical reasons, </w:t>
            </w:r>
            <w:r w:rsidR="00381FA5">
              <w:rPr>
                <w:rFonts w:ascii="Segoe UI" w:hAnsi="Segoe UI" w:cs="Segoe UI"/>
                <w:sz w:val="20"/>
                <w:szCs w:val="20"/>
              </w:rPr>
              <w:t>known substance misuse</w:t>
            </w:r>
            <w:r w:rsidR="00CC167F">
              <w:rPr>
                <w:rFonts w:ascii="Segoe UI" w:hAnsi="Segoe UI" w:cs="Segoe UI"/>
                <w:sz w:val="20"/>
                <w:szCs w:val="20"/>
              </w:rPr>
              <w:t>, etc.</w:t>
            </w:r>
            <w:r w:rsidR="00B76A30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279" w:type="dxa"/>
          </w:tcPr>
          <w:p w14:paraId="1D94C1FF" w14:textId="7EFF76A9" w:rsidR="0064442C" w:rsidRDefault="0064442C" w:rsidP="0064442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Staff, contractors, </w:t>
            </w:r>
            <w:r w:rsidR="00331891">
              <w:rPr>
                <w:rFonts w:ascii="Segoe UI" w:hAnsi="Segoe UI" w:cs="Segoe UI"/>
                <w:sz w:val="20"/>
                <w:szCs w:val="20"/>
              </w:rPr>
              <w:t>tenants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961DED">
              <w:rPr>
                <w:rFonts w:ascii="Segoe UI" w:hAnsi="Segoe UI" w:cs="Segoe UI"/>
                <w:sz w:val="20"/>
                <w:szCs w:val="20"/>
              </w:rPr>
              <w:t>visitors</w:t>
            </w:r>
          </w:p>
          <w:p w14:paraId="6EE30BD5" w14:textId="77777777" w:rsidR="0064442C" w:rsidRDefault="0064442C" w:rsidP="0064442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3DF5246" w14:textId="38FE3AC9" w:rsidR="00374A6F" w:rsidRDefault="0064442C" w:rsidP="0064442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Punctures and possibly contraction of blood-borne viruses, which might be linked to anxiety and stress.</w:t>
            </w:r>
          </w:p>
        </w:tc>
        <w:tc>
          <w:tcPr>
            <w:tcW w:w="4670" w:type="dxa"/>
          </w:tcPr>
          <w:p w14:paraId="08FC62DD" w14:textId="0CCB34F7" w:rsidR="00374A6F" w:rsidRPr="00B76A30" w:rsidRDefault="00B0193D" w:rsidP="00374A6F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B76A30">
              <w:rPr>
                <w:rFonts w:ascii="Segoe UI" w:hAnsi="Segoe UI" w:cs="Segoe UI"/>
                <w:sz w:val="20"/>
                <w:szCs w:val="20"/>
              </w:rPr>
              <w:lastRenderedPageBreak/>
              <w:t>Needlestick</w:t>
            </w:r>
            <w:r w:rsidR="001567FB" w:rsidRPr="00B76A30">
              <w:rPr>
                <w:rFonts w:ascii="Segoe UI" w:hAnsi="Segoe UI" w:cs="Segoe UI"/>
                <w:sz w:val="20"/>
                <w:szCs w:val="20"/>
              </w:rPr>
              <w:t>s</w:t>
            </w:r>
            <w:r w:rsidRPr="00B76A30">
              <w:rPr>
                <w:rFonts w:ascii="Segoe UI" w:hAnsi="Segoe UI" w:cs="Segoe UI"/>
                <w:sz w:val="20"/>
                <w:szCs w:val="20"/>
              </w:rPr>
              <w:t xml:space="preserve"> and Sharps Guidance </w:t>
            </w:r>
            <w:r w:rsidR="005B0C83" w:rsidRPr="00B76A30">
              <w:rPr>
                <w:rFonts w:ascii="Segoe UI" w:hAnsi="Segoe UI" w:cs="Segoe UI"/>
                <w:sz w:val="20"/>
                <w:szCs w:val="20"/>
              </w:rPr>
              <w:t>available on the intranet</w:t>
            </w:r>
            <w:r w:rsidR="00BC7B71">
              <w:rPr>
                <w:rFonts w:ascii="Segoe UI" w:hAnsi="Segoe UI" w:cs="Segoe UI"/>
                <w:sz w:val="20"/>
                <w:szCs w:val="20"/>
              </w:rPr>
              <w:t xml:space="preserve">, detailing actions </w:t>
            </w:r>
            <w:r w:rsidR="00BC7B71" w:rsidRPr="00BC7B71">
              <w:rPr>
                <w:rFonts w:ascii="Segoe UI" w:hAnsi="Segoe UI" w:cs="Segoe UI"/>
                <w:sz w:val="20"/>
                <w:szCs w:val="20"/>
              </w:rPr>
              <w:t xml:space="preserve">to take on finding </w:t>
            </w:r>
            <w:r w:rsidR="00BC7B71" w:rsidRPr="00BC7B71">
              <w:rPr>
                <w:rFonts w:ascii="Segoe UI" w:hAnsi="Segoe UI" w:cs="Segoe UI"/>
                <w:sz w:val="20"/>
                <w:szCs w:val="20"/>
              </w:rPr>
              <w:lastRenderedPageBreak/>
              <w:t>a needlestick</w:t>
            </w:r>
            <w:r w:rsidR="00BC7B71">
              <w:rPr>
                <w:rFonts w:ascii="Segoe UI" w:hAnsi="Segoe UI" w:cs="Segoe UI"/>
                <w:sz w:val="20"/>
                <w:szCs w:val="20"/>
              </w:rPr>
              <w:t>/</w:t>
            </w:r>
            <w:r w:rsidR="00BC7B71" w:rsidRPr="00BC7B71">
              <w:rPr>
                <w:rFonts w:ascii="Segoe UI" w:hAnsi="Segoe UI" w:cs="Segoe UI"/>
                <w:sz w:val="20"/>
                <w:szCs w:val="20"/>
              </w:rPr>
              <w:t>sharp</w:t>
            </w:r>
            <w:r w:rsidR="009F3BE6">
              <w:rPr>
                <w:rFonts w:ascii="Segoe UI" w:hAnsi="Segoe UI" w:cs="Segoe UI"/>
                <w:sz w:val="20"/>
                <w:szCs w:val="20"/>
              </w:rPr>
              <w:t xml:space="preserve"> at work</w:t>
            </w:r>
            <w:r w:rsidR="00B92A7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3BE6">
              <w:rPr>
                <w:rFonts w:ascii="Segoe UI" w:hAnsi="Segoe UI" w:cs="Segoe UI"/>
                <w:sz w:val="20"/>
                <w:szCs w:val="20"/>
              </w:rPr>
              <w:t>and actions to take i</w:t>
            </w:r>
            <w:r w:rsidR="00BC7B71">
              <w:rPr>
                <w:rFonts w:ascii="Segoe UI" w:hAnsi="Segoe UI" w:cs="Segoe UI"/>
                <w:sz w:val="20"/>
                <w:szCs w:val="20"/>
              </w:rPr>
              <w:t xml:space="preserve">f </w:t>
            </w:r>
            <w:r w:rsidR="009F3BE6">
              <w:rPr>
                <w:rFonts w:ascii="Segoe UI" w:hAnsi="Segoe UI" w:cs="Segoe UI"/>
                <w:sz w:val="20"/>
                <w:szCs w:val="20"/>
              </w:rPr>
              <w:t>some</w:t>
            </w:r>
            <w:r w:rsidR="00BC7B71">
              <w:rPr>
                <w:rFonts w:ascii="Segoe UI" w:hAnsi="Segoe UI" w:cs="Segoe UI"/>
                <w:sz w:val="20"/>
                <w:szCs w:val="20"/>
              </w:rPr>
              <w:t xml:space="preserve">one </w:t>
            </w:r>
            <w:r w:rsidR="009F3BE6">
              <w:rPr>
                <w:rFonts w:ascii="Segoe UI" w:hAnsi="Segoe UI" w:cs="Segoe UI"/>
                <w:sz w:val="20"/>
                <w:szCs w:val="20"/>
              </w:rPr>
              <w:t>has been</w:t>
            </w:r>
            <w:r w:rsidR="00BC7B71">
              <w:rPr>
                <w:rFonts w:ascii="Segoe UI" w:hAnsi="Segoe UI" w:cs="Segoe UI"/>
                <w:sz w:val="20"/>
                <w:szCs w:val="20"/>
              </w:rPr>
              <w:t xml:space="preserve"> injured.</w:t>
            </w:r>
          </w:p>
          <w:p w14:paraId="6AEA7212" w14:textId="6CACBDC2" w:rsidR="001567FB" w:rsidRPr="00B76A30" w:rsidRDefault="00B0193D" w:rsidP="00374A6F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B76A30">
              <w:rPr>
                <w:rFonts w:ascii="Segoe UI" w:hAnsi="Segoe UI" w:cs="Segoe UI"/>
                <w:sz w:val="20"/>
                <w:szCs w:val="20"/>
              </w:rPr>
              <w:t xml:space="preserve">Mandatory </w:t>
            </w:r>
            <w:r w:rsidR="001567FB" w:rsidRPr="00B76A30">
              <w:rPr>
                <w:rFonts w:ascii="Segoe UI" w:hAnsi="Segoe UI" w:cs="Segoe UI"/>
                <w:sz w:val="20"/>
                <w:szCs w:val="20"/>
              </w:rPr>
              <w:t xml:space="preserve">Needlesticks </w:t>
            </w:r>
            <w:r w:rsidR="00100CA9">
              <w:rPr>
                <w:rFonts w:ascii="Segoe UI" w:hAnsi="Segoe UI" w:cs="Segoe UI"/>
                <w:sz w:val="20"/>
                <w:szCs w:val="20"/>
              </w:rPr>
              <w:t>e</w:t>
            </w:r>
            <w:r w:rsidR="001567FB" w:rsidRPr="00B76A30">
              <w:rPr>
                <w:rFonts w:ascii="Segoe UI" w:hAnsi="Segoe UI" w:cs="Segoe UI"/>
                <w:sz w:val="20"/>
                <w:szCs w:val="20"/>
              </w:rPr>
              <w:t>-learning for a</w:t>
            </w:r>
            <w:r w:rsidR="00374A6F" w:rsidRPr="00B76A30">
              <w:rPr>
                <w:rFonts w:ascii="Segoe UI" w:hAnsi="Segoe UI" w:cs="Segoe UI"/>
                <w:sz w:val="20"/>
                <w:szCs w:val="20"/>
              </w:rPr>
              <w:t xml:space="preserve">ll staff </w:t>
            </w:r>
            <w:r w:rsidR="001567FB" w:rsidRPr="00B76A30">
              <w:rPr>
                <w:rFonts w:ascii="Segoe UI" w:hAnsi="Segoe UI" w:cs="Segoe UI"/>
                <w:sz w:val="20"/>
                <w:szCs w:val="20"/>
              </w:rPr>
              <w:t>who are likely to encounter needlesticks</w:t>
            </w:r>
            <w:r w:rsidR="00A55DF5">
              <w:rPr>
                <w:rFonts w:ascii="Segoe UI" w:hAnsi="Segoe UI" w:cs="Segoe UI"/>
                <w:sz w:val="20"/>
                <w:szCs w:val="20"/>
              </w:rPr>
              <w:t>/sharps</w:t>
            </w:r>
            <w:r w:rsidR="001567FB" w:rsidRPr="00B76A30">
              <w:rPr>
                <w:rFonts w:ascii="Segoe UI" w:hAnsi="Segoe UI" w:cs="Segoe UI"/>
                <w:sz w:val="20"/>
                <w:szCs w:val="20"/>
              </w:rPr>
              <w:t xml:space="preserve"> at work</w:t>
            </w:r>
            <w:r w:rsidR="00B6696B">
              <w:rPr>
                <w:rFonts w:ascii="Segoe UI" w:hAnsi="Segoe UI" w:cs="Segoe UI"/>
                <w:sz w:val="20"/>
                <w:szCs w:val="20"/>
              </w:rPr>
              <w:t xml:space="preserve"> (Module 1)</w:t>
            </w:r>
            <w:r w:rsidR="008F1A1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567FB" w:rsidRPr="00B76A30">
              <w:rPr>
                <w:rFonts w:ascii="Segoe UI" w:hAnsi="Segoe UI" w:cs="Segoe UI"/>
                <w:sz w:val="20"/>
                <w:szCs w:val="20"/>
              </w:rPr>
              <w:t>or are responsible for their safe removal</w:t>
            </w:r>
            <w:r w:rsidR="00B6696B">
              <w:rPr>
                <w:rFonts w:ascii="Segoe UI" w:hAnsi="Segoe UI" w:cs="Segoe UI"/>
                <w:sz w:val="20"/>
                <w:szCs w:val="20"/>
              </w:rPr>
              <w:t xml:space="preserve"> (Module 2).</w:t>
            </w:r>
          </w:p>
          <w:p w14:paraId="491880D9" w14:textId="11E56C3D" w:rsidR="00374A6F" w:rsidRPr="005038DB" w:rsidRDefault="005038DB" w:rsidP="00374A6F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5038DB">
              <w:rPr>
                <w:rFonts w:ascii="Segoe UI" w:hAnsi="Segoe UI" w:cs="Segoe UI"/>
                <w:sz w:val="20"/>
                <w:szCs w:val="20"/>
              </w:rPr>
              <w:t>Hazard included in the induction of s</w:t>
            </w:r>
            <w:r w:rsidR="00374A6F" w:rsidRPr="005038DB">
              <w:rPr>
                <w:rFonts w:ascii="Segoe UI" w:hAnsi="Segoe UI" w:cs="Segoe UI"/>
                <w:sz w:val="20"/>
                <w:szCs w:val="20"/>
              </w:rPr>
              <w:t xml:space="preserve">taff </w:t>
            </w:r>
            <w:r w:rsidRPr="005038DB">
              <w:rPr>
                <w:rFonts w:ascii="Segoe UI" w:hAnsi="Segoe UI" w:cs="Segoe UI"/>
                <w:sz w:val="20"/>
                <w:szCs w:val="20"/>
              </w:rPr>
              <w:t xml:space="preserve">who are </w:t>
            </w:r>
            <w:r w:rsidR="00374A6F" w:rsidRPr="005038DB">
              <w:rPr>
                <w:rFonts w:ascii="Segoe UI" w:hAnsi="Segoe UI" w:cs="Segoe UI"/>
                <w:sz w:val="20"/>
                <w:szCs w:val="20"/>
              </w:rPr>
              <w:t>new to site</w:t>
            </w:r>
            <w:r w:rsidRPr="005038DB">
              <w:rPr>
                <w:rFonts w:ascii="Segoe UI" w:hAnsi="Segoe UI" w:cs="Segoe UI"/>
                <w:sz w:val="20"/>
                <w:szCs w:val="20"/>
              </w:rPr>
              <w:t xml:space="preserve"> (e.g. sharing risk assessment with them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before they attend </w:t>
            </w:r>
            <w:r w:rsidR="00AE607A">
              <w:rPr>
                <w:rFonts w:ascii="Segoe UI" w:hAnsi="Segoe UI" w:cs="Segoe UI"/>
                <w:sz w:val="20"/>
                <w:szCs w:val="20"/>
              </w:rPr>
              <w:t>site or</w:t>
            </w:r>
            <w:r w:rsidR="004914D3">
              <w:rPr>
                <w:rFonts w:ascii="Segoe UI" w:hAnsi="Segoe UI" w:cs="Segoe UI"/>
                <w:sz w:val="20"/>
                <w:szCs w:val="20"/>
              </w:rPr>
              <w:t xml:space="preserve"> making them aware otherwise in good time</w:t>
            </w:r>
            <w:r w:rsidRPr="005038DB">
              <w:rPr>
                <w:rFonts w:ascii="Segoe UI" w:hAnsi="Segoe UI" w:cs="Segoe UI"/>
                <w:sz w:val="20"/>
                <w:szCs w:val="20"/>
              </w:rPr>
              <w:t>).</w:t>
            </w:r>
          </w:p>
          <w:p w14:paraId="23B91B9F" w14:textId="07EA9C79" w:rsidR="00374A6F" w:rsidRPr="00BE73D1" w:rsidRDefault="00374A6F" w:rsidP="00BE73D1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1518CF">
              <w:rPr>
                <w:rFonts w:ascii="Segoe UI" w:hAnsi="Segoe UI" w:cs="Segoe UI"/>
                <w:sz w:val="20"/>
                <w:szCs w:val="20"/>
              </w:rPr>
              <w:t>Approved competent contractors are utilised to remove discarded needlesticks and sharps where no trained staff are present</w:t>
            </w:r>
            <w:r w:rsidR="00BE73D1">
              <w:rPr>
                <w:rFonts w:ascii="Segoe UI" w:hAnsi="Segoe UI" w:cs="Segoe UI"/>
                <w:sz w:val="20"/>
                <w:szCs w:val="20"/>
              </w:rPr>
              <w:t>,</w:t>
            </w:r>
            <w:r w:rsidRPr="001518CF">
              <w:rPr>
                <w:rFonts w:ascii="Segoe UI" w:hAnsi="Segoe UI" w:cs="Segoe UI"/>
                <w:sz w:val="20"/>
                <w:szCs w:val="20"/>
              </w:rPr>
              <w:t xml:space="preserve"> and/or the discarded items are large in number and/or located in unsafe or awkward lo</w:t>
            </w:r>
            <w:r w:rsidRPr="00BE73D1">
              <w:rPr>
                <w:rFonts w:ascii="Segoe UI" w:hAnsi="Segoe UI" w:cs="Segoe UI"/>
                <w:sz w:val="20"/>
                <w:szCs w:val="20"/>
              </w:rPr>
              <w:t>cations</w:t>
            </w:r>
            <w:r w:rsidR="00BE73D1" w:rsidRPr="00BE73D1">
              <w:rPr>
                <w:rFonts w:ascii="Segoe UI" w:hAnsi="Segoe UI" w:cs="Segoe UI"/>
                <w:sz w:val="20"/>
                <w:szCs w:val="20"/>
              </w:rPr>
              <w:t xml:space="preserve">, and/or </w:t>
            </w:r>
            <w:r w:rsidRPr="00BE73D1">
              <w:rPr>
                <w:rFonts w:ascii="Segoe UI" w:hAnsi="Segoe UI" w:cs="Segoe UI"/>
                <w:sz w:val="20"/>
                <w:szCs w:val="20"/>
              </w:rPr>
              <w:t>an environmental clean</w:t>
            </w:r>
            <w:r w:rsidR="00BE73D1" w:rsidRPr="00BE73D1">
              <w:rPr>
                <w:rFonts w:ascii="Segoe UI" w:hAnsi="Segoe UI" w:cs="Segoe UI"/>
                <w:sz w:val="20"/>
                <w:szCs w:val="20"/>
              </w:rPr>
              <w:t xml:space="preserve"> is required</w:t>
            </w:r>
            <w:r w:rsidR="00BE2F41" w:rsidRPr="00BE73D1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149264E6" w14:textId="316DEA8E" w:rsidR="002F137F" w:rsidRPr="002F137F" w:rsidRDefault="00BE73D1" w:rsidP="002F137F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2F137F">
              <w:rPr>
                <w:rFonts w:ascii="Segoe UI" w:hAnsi="Segoe UI" w:cs="Segoe UI"/>
                <w:sz w:val="20"/>
                <w:szCs w:val="20"/>
              </w:rPr>
              <w:t>Manager</w:t>
            </w:r>
            <w:r w:rsidR="002F137F" w:rsidRPr="002F137F">
              <w:rPr>
                <w:rFonts w:ascii="Segoe UI" w:hAnsi="Segoe UI" w:cs="Segoe UI"/>
                <w:sz w:val="20"/>
                <w:szCs w:val="20"/>
              </w:rPr>
              <w:t>s</w:t>
            </w:r>
            <w:r w:rsidRPr="002F137F">
              <w:rPr>
                <w:rFonts w:ascii="Segoe UI" w:hAnsi="Segoe UI" w:cs="Segoe UI"/>
                <w:sz w:val="20"/>
                <w:szCs w:val="20"/>
              </w:rPr>
              <w:t xml:space="preserve"> ensure that the correct </w:t>
            </w:r>
            <w:r w:rsidR="0040512D">
              <w:rPr>
                <w:rFonts w:ascii="Segoe UI" w:hAnsi="Segoe UI" w:cs="Segoe UI"/>
                <w:sz w:val="20"/>
                <w:szCs w:val="20"/>
              </w:rPr>
              <w:t xml:space="preserve">equipment, including PPE, is </w:t>
            </w:r>
            <w:r w:rsidR="002F137F" w:rsidRPr="002F137F">
              <w:rPr>
                <w:rFonts w:ascii="Segoe UI" w:hAnsi="Segoe UI" w:cs="Segoe UI"/>
                <w:sz w:val="20"/>
                <w:szCs w:val="20"/>
              </w:rPr>
              <w:t xml:space="preserve">provided </w:t>
            </w:r>
            <w:r w:rsidR="00C27E24">
              <w:rPr>
                <w:rFonts w:ascii="Segoe UI" w:hAnsi="Segoe UI" w:cs="Segoe UI"/>
                <w:sz w:val="20"/>
                <w:szCs w:val="20"/>
              </w:rPr>
              <w:t>to</w:t>
            </w:r>
            <w:r w:rsidR="002F137F" w:rsidRPr="002F137F">
              <w:rPr>
                <w:rFonts w:ascii="Segoe UI" w:hAnsi="Segoe UI" w:cs="Segoe UI"/>
                <w:sz w:val="20"/>
                <w:szCs w:val="20"/>
              </w:rPr>
              <w:t xml:space="preserve"> staff </w:t>
            </w:r>
            <w:r w:rsidR="00C27E24">
              <w:rPr>
                <w:rFonts w:ascii="Segoe UI" w:hAnsi="Segoe UI" w:cs="Segoe UI"/>
                <w:sz w:val="20"/>
                <w:szCs w:val="20"/>
              </w:rPr>
              <w:t>as</w:t>
            </w:r>
            <w:r w:rsidR="002F137F" w:rsidRPr="002F137F">
              <w:rPr>
                <w:rFonts w:ascii="Segoe UI" w:hAnsi="Segoe UI" w:cs="Segoe UI"/>
                <w:sz w:val="20"/>
                <w:szCs w:val="20"/>
              </w:rPr>
              <w:t xml:space="preserve"> require</w:t>
            </w:r>
            <w:r w:rsidR="0040512D">
              <w:rPr>
                <w:rFonts w:ascii="Segoe UI" w:hAnsi="Segoe UI" w:cs="Segoe UI"/>
                <w:sz w:val="20"/>
                <w:szCs w:val="20"/>
              </w:rPr>
              <w:t xml:space="preserve">d (e.g. puncture resistant gloves or gauntlets, </w:t>
            </w:r>
            <w:r w:rsidR="0040512D" w:rsidRPr="002F137F">
              <w:rPr>
                <w:rFonts w:ascii="Segoe UI" w:hAnsi="Segoe UI" w:cs="Segoe UI"/>
                <w:sz w:val="20"/>
                <w:szCs w:val="20"/>
              </w:rPr>
              <w:t>safety shoes,</w:t>
            </w:r>
            <w:r w:rsidR="0040512D">
              <w:rPr>
                <w:rFonts w:ascii="Segoe UI" w:hAnsi="Segoe UI" w:cs="Segoe UI"/>
                <w:sz w:val="20"/>
                <w:szCs w:val="20"/>
              </w:rPr>
              <w:t xml:space="preserve"> overalls, face shields, </w:t>
            </w:r>
            <w:r w:rsidR="0040512D" w:rsidRPr="002F137F">
              <w:rPr>
                <w:rFonts w:ascii="Segoe UI" w:hAnsi="Segoe UI" w:cs="Segoe UI"/>
                <w:sz w:val="20"/>
                <w:szCs w:val="20"/>
              </w:rPr>
              <w:t xml:space="preserve">sharps </w:t>
            </w:r>
            <w:r w:rsidR="00204896">
              <w:rPr>
                <w:rFonts w:ascii="Segoe UI" w:hAnsi="Segoe UI" w:cs="Segoe UI"/>
                <w:sz w:val="20"/>
                <w:szCs w:val="20"/>
              </w:rPr>
              <w:t>disposal containers</w:t>
            </w:r>
            <w:r w:rsidR="0040512D" w:rsidRPr="002F137F">
              <w:rPr>
                <w:rFonts w:ascii="Segoe UI" w:hAnsi="Segoe UI" w:cs="Segoe UI"/>
                <w:sz w:val="20"/>
                <w:szCs w:val="20"/>
              </w:rPr>
              <w:t>, tongs, etc.)</w:t>
            </w:r>
            <w:r w:rsidR="00C27E24">
              <w:rPr>
                <w:rFonts w:ascii="Segoe UI" w:hAnsi="Segoe UI" w:cs="Segoe UI"/>
                <w:sz w:val="20"/>
                <w:szCs w:val="20"/>
              </w:rPr>
              <w:t>, and that adequate storage arrangements are available where PPE is reusable.</w:t>
            </w:r>
          </w:p>
          <w:p w14:paraId="5A4C7082" w14:textId="2AF73EF0" w:rsidR="002F137F" w:rsidRPr="0040512D" w:rsidRDefault="002F137F" w:rsidP="002F137F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40512D">
              <w:rPr>
                <w:rFonts w:ascii="Segoe UI" w:hAnsi="Segoe UI" w:cs="Segoe UI"/>
                <w:sz w:val="20"/>
                <w:szCs w:val="20"/>
              </w:rPr>
              <w:t xml:space="preserve">Approved competent contractors </w:t>
            </w:r>
            <w:r w:rsidR="0040512D" w:rsidRPr="0040512D">
              <w:rPr>
                <w:rFonts w:ascii="Segoe UI" w:hAnsi="Segoe UI" w:cs="Segoe UI"/>
                <w:sz w:val="20"/>
                <w:szCs w:val="20"/>
              </w:rPr>
              <w:t>replace</w:t>
            </w:r>
            <w:r w:rsidRPr="004051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0512D">
              <w:rPr>
                <w:rFonts w:ascii="Segoe UI" w:hAnsi="Segoe UI" w:cs="Segoe UI"/>
                <w:sz w:val="20"/>
                <w:szCs w:val="20"/>
              </w:rPr>
              <w:t xml:space="preserve">used </w:t>
            </w:r>
            <w:r w:rsidRPr="0040512D">
              <w:rPr>
                <w:rFonts w:ascii="Segoe UI" w:hAnsi="Segoe UI" w:cs="Segoe UI"/>
                <w:sz w:val="20"/>
                <w:szCs w:val="20"/>
              </w:rPr>
              <w:t>sharp</w:t>
            </w:r>
            <w:r w:rsidR="00822F45">
              <w:rPr>
                <w:rFonts w:ascii="Segoe UI" w:hAnsi="Segoe UI" w:cs="Segoe UI"/>
                <w:sz w:val="20"/>
                <w:szCs w:val="20"/>
              </w:rPr>
              <w:t>s</w:t>
            </w:r>
            <w:r w:rsidRPr="004051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04896">
              <w:rPr>
                <w:rFonts w:ascii="Segoe UI" w:hAnsi="Segoe UI" w:cs="Segoe UI"/>
                <w:sz w:val="20"/>
                <w:szCs w:val="20"/>
              </w:rPr>
              <w:t>disposal container</w:t>
            </w:r>
            <w:r w:rsidRPr="0040512D">
              <w:rPr>
                <w:rFonts w:ascii="Segoe UI" w:hAnsi="Segoe UI" w:cs="Segoe UI"/>
                <w:sz w:val="20"/>
                <w:szCs w:val="20"/>
              </w:rPr>
              <w:t>s.</w:t>
            </w:r>
          </w:p>
          <w:p w14:paraId="0CDD0E9F" w14:textId="6ED125FA" w:rsidR="00D94C3B" w:rsidRPr="00A9080D" w:rsidRDefault="00374A6F" w:rsidP="00044CAE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FF4CF6">
              <w:rPr>
                <w:rFonts w:ascii="Segoe UI" w:hAnsi="Segoe UI" w:cs="Segoe UI"/>
                <w:sz w:val="20"/>
                <w:szCs w:val="20"/>
              </w:rPr>
              <w:t>Individual risk assessmen</w:t>
            </w:r>
            <w:r w:rsidR="00742972">
              <w:rPr>
                <w:rFonts w:ascii="Segoe UI" w:hAnsi="Segoe UI" w:cs="Segoe UI"/>
                <w:sz w:val="20"/>
                <w:szCs w:val="20"/>
              </w:rPr>
              <w:t>t</w:t>
            </w:r>
            <w:r w:rsidR="001210F4">
              <w:rPr>
                <w:rFonts w:ascii="Segoe UI" w:hAnsi="Segoe UI" w:cs="Segoe UI"/>
                <w:sz w:val="20"/>
                <w:szCs w:val="20"/>
              </w:rPr>
              <w:t>,</w:t>
            </w:r>
            <w:r w:rsidR="00D94C3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F4CF6">
              <w:rPr>
                <w:rFonts w:ascii="Segoe UI" w:hAnsi="Segoe UI" w:cs="Segoe UI"/>
                <w:sz w:val="20"/>
                <w:szCs w:val="20"/>
              </w:rPr>
              <w:t xml:space="preserve">which is </w:t>
            </w:r>
            <w:r w:rsidRPr="00FF4CF6">
              <w:rPr>
                <w:rFonts w:ascii="Segoe UI" w:hAnsi="Segoe UI" w:cs="Segoe UI"/>
                <w:sz w:val="20"/>
                <w:szCs w:val="20"/>
              </w:rPr>
              <w:t xml:space="preserve">carried out with all </w:t>
            </w:r>
            <w:r w:rsidR="00331891">
              <w:rPr>
                <w:rFonts w:ascii="Segoe UI" w:hAnsi="Segoe UI" w:cs="Segoe UI"/>
                <w:sz w:val="20"/>
                <w:szCs w:val="20"/>
              </w:rPr>
              <w:t>tenants</w:t>
            </w:r>
            <w:r w:rsidRPr="00FF4C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D35E7" w:rsidRPr="00FF4CF6">
              <w:rPr>
                <w:rFonts w:ascii="Segoe UI" w:hAnsi="Segoe UI" w:cs="Segoe UI"/>
                <w:sz w:val="20"/>
                <w:szCs w:val="20"/>
              </w:rPr>
              <w:t>when agreeing their tenancy</w:t>
            </w:r>
            <w:r w:rsidR="001210F4">
              <w:rPr>
                <w:rFonts w:ascii="Segoe UI" w:hAnsi="Segoe UI" w:cs="Segoe UI"/>
                <w:sz w:val="20"/>
                <w:szCs w:val="20"/>
              </w:rPr>
              <w:t>,</w:t>
            </w:r>
            <w:r w:rsidR="00FF4C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F4CF6" w:rsidRPr="00FF4CF6">
              <w:rPr>
                <w:rFonts w:ascii="Segoe UI" w:hAnsi="Segoe UI" w:cs="Segoe UI"/>
                <w:sz w:val="20"/>
                <w:szCs w:val="20"/>
              </w:rPr>
              <w:t>highlight</w:t>
            </w:r>
            <w:r w:rsidR="00994DFD">
              <w:rPr>
                <w:rFonts w:ascii="Segoe UI" w:hAnsi="Segoe UI" w:cs="Segoe UI"/>
                <w:sz w:val="20"/>
                <w:szCs w:val="20"/>
              </w:rPr>
              <w:t>s</w:t>
            </w:r>
            <w:r w:rsidR="00FF4CF6" w:rsidRPr="00FF4CF6">
              <w:rPr>
                <w:rFonts w:ascii="Segoe UI" w:hAnsi="Segoe UI" w:cs="Segoe UI"/>
                <w:sz w:val="20"/>
                <w:szCs w:val="20"/>
              </w:rPr>
              <w:t xml:space="preserve"> any medical or substance misuse issue </w:t>
            </w:r>
            <w:r w:rsidR="00994DFD">
              <w:rPr>
                <w:rFonts w:ascii="Segoe UI" w:hAnsi="Segoe UI" w:cs="Segoe UI"/>
                <w:sz w:val="20"/>
                <w:szCs w:val="20"/>
              </w:rPr>
              <w:t>introducing</w:t>
            </w:r>
            <w:r w:rsidR="00FF4CF6" w:rsidRPr="00FF4C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94DFD">
              <w:rPr>
                <w:rFonts w:ascii="Segoe UI" w:hAnsi="Segoe UI" w:cs="Segoe UI"/>
                <w:sz w:val="20"/>
                <w:szCs w:val="20"/>
              </w:rPr>
              <w:t xml:space="preserve">the hazard of </w:t>
            </w:r>
            <w:r w:rsidR="00FF4CF6" w:rsidRPr="00FF4CF6">
              <w:rPr>
                <w:rFonts w:ascii="Segoe UI" w:hAnsi="Segoe UI" w:cs="Segoe UI"/>
                <w:sz w:val="20"/>
                <w:szCs w:val="20"/>
              </w:rPr>
              <w:t>needlesticks</w:t>
            </w:r>
            <w:r w:rsidR="00D94C3B">
              <w:rPr>
                <w:rFonts w:ascii="Segoe UI" w:hAnsi="Segoe UI" w:cs="Segoe UI"/>
                <w:sz w:val="20"/>
                <w:szCs w:val="20"/>
              </w:rPr>
              <w:t>/</w:t>
            </w:r>
            <w:r w:rsidR="00FF4CF6" w:rsidRPr="00FF4CF6">
              <w:rPr>
                <w:rFonts w:ascii="Segoe UI" w:hAnsi="Segoe UI" w:cs="Segoe UI"/>
                <w:sz w:val="20"/>
                <w:szCs w:val="20"/>
              </w:rPr>
              <w:t>sharps</w:t>
            </w:r>
            <w:r w:rsidR="00044CAE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="00994DFD">
              <w:rPr>
                <w:rFonts w:ascii="Segoe UI" w:hAnsi="Segoe UI" w:cs="Segoe UI"/>
                <w:sz w:val="20"/>
                <w:szCs w:val="20"/>
              </w:rPr>
              <w:t xml:space="preserve">is </w:t>
            </w:r>
            <w:r w:rsidR="00FF4CF6" w:rsidRPr="00044CAE">
              <w:rPr>
                <w:rFonts w:ascii="Segoe UI" w:hAnsi="Segoe UI" w:cs="Segoe UI"/>
                <w:sz w:val="20"/>
                <w:szCs w:val="20"/>
              </w:rPr>
              <w:t>updated p</w:t>
            </w:r>
            <w:r w:rsidR="007D35E7" w:rsidRPr="00044CAE">
              <w:rPr>
                <w:rFonts w:ascii="Segoe UI" w:hAnsi="Segoe UI" w:cs="Segoe UI"/>
                <w:sz w:val="20"/>
                <w:szCs w:val="20"/>
              </w:rPr>
              <w:t xml:space="preserve">eriodically or if there </w:t>
            </w:r>
            <w:r w:rsidR="00FF4CF6" w:rsidRPr="00044CAE">
              <w:rPr>
                <w:rFonts w:ascii="Segoe UI" w:hAnsi="Segoe UI" w:cs="Segoe UI"/>
                <w:sz w:val="20"/>
                <w:szCs w:val="20"/>
              </w:rPr>
              <w:t>is</w:t>
            </w:r>
            <w:r w:rsidR="007D35E7" w:rsidRPr="00044CAE">
              <w:rPr>
                <w:rFonts w:ascii="Segoe UI" w:hAnsi="Segoe UI" w:cs="Segoe UI"/>
                <w:sz w:val="20"/>
                <w:szCs w:val="20"/>
              </w:rPr>
              <w:t xml:space="preserve"> any chang</w:t>
            </w:r>
            <w:r w:rsidR="00FF4CF6" w:rsidRPr="00044CAE">
              <w:rPr>
                <w:rFonts w:ascii="Segoe UI" w:hAnsi="Segoe UI" w:cs="Segoe UI"/>
                <w:sz w:val="20"/>
                <w:szCs w:val="20"/>
              </w:rPr>
              <w:t>e.</w:t>
            </w:r>
          </w:p>
          <w:p w14:paraId="6B4383A4" w14:textId="515C033B" w:rsidR="00A9080D" w:rsidRPr="00A9080D" w:rsidRDefault="00A9080D" w:rsidP="00A9080D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A9080D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Where </w:t>
            </w:r>
            <w:r w:rsidR="00331891">
              <w:rPr>
                <w:rFonts w:ascii="Segoe UI" w:hAnsi="Segoe UI" w:cs="Segoe UI"/>
                <w:sz w:val="20"/>
                <w:szCs w:val="20"/>
              </w:rPr>
              <w:t>tenants</w:t>
            </w:r>
            <w:r w:rsidRPr="00A9080D">
              <w:rPr>
                <w:rFonts w:ascii="Segoe UI" w:hAnsi="Segoe UI" w:cs="Segoe UI"/>
                <w:sz w:val="20"/>
                <w:szCs w:val="20"/>
              </w:rPr>
              <w:t xml:space="preserve"> require to carry needles around to administer medication pro re nata, staff ensure that they are kept in a secure pouch and not loose in their pockets or bags. The same applies to staff with similar needs.</w:t>
            </w:r>
          </w:p>
          <w:p w14:paraId="196424DE" w14:textId="33883EC6" w:rsidR="00374A6F" w:rsidRPr="00BF0FEB" w:rsidRDefault="00FF4CF6" w:rsidP="00FF4CF6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FF4CF6">
              <w:rPr>
                <w:rFonts w:ascii="Segoe UI" w:hAnsi="Segoe UI" w:cs="Segoe UI"/>
                <w:sz w:val="20"/>
                <w:szCs w:val="20"/>
              </w:rPr>
              <w:t>A</w:t>
            </w:r>
            <w:r w:rsidR="00374A6F" w:rsidRPr="00FF4CF6">
              <w:rPr>
                <w:rFonts w:ascii="Segoe UI" w:hAnsi="Segoe UI" w:cs="Segoe UI"/>
                <w:sz w:val="20"/>
                <w:szCs w:val="20"/>
              </w:rPr>
              <w:t>ccidents and near misses are recorded on the Health &amp; Safety Incident Reporting portal</w:t>
            </w:r>
            <w:r w:rsidRPr="00FF4C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611" w:type="dxa"/>
            <w:shd w:val="clear" w:color="auto" w:fill="FFFFFF"/>
          </w:tcPr>
          <w:p w14:paraId="31E71F88" w14:textId="77777777" w:rsidR="00374A6F" w:rsidRPr="006B4429" w:rsidRDefault="00374A6F" w:rsidP="00374A6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0AB177CE" w14:textId="77777777" w:rsidR="00374A6F" w:rsidRPr="006B4429" w:rsidRDefault="00374A6F" w:rsidP="00374A6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54DD3AE" w14:textId="77777777" w:rsidR="00374A6F" w:rsidRPr="006B4429" w:rsidRDefault="00374A6F" w:rsidP="00374A6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5BE9CBE" w14:textId="77777777" w:rsidR="00374A6F" w:rsidRPr="006B4429" w:rsidRDefault="00374A6F" w:rsidP="00374A6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5B60" w14:paraId="58E6CF1E" w14:textId="77777777" w:rsidTr="001D5009">
        <w:trPr>
          <w:trHeight w:val="365"/>
        </w:trPr>
        <w:tc>
          <w:tcPr>
            <w:tcW w:w="2389" w:type="dxa"/>
          </w:tcPr>
          <w:p w14:paraId="4750C4A9" w14:textId="055B5064" w:rsidR="00555B60" w:rsidRDefault="00F5101F" w:rsidP="00555B6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Hidden n</w:t>
            </w:r>
            <w:r w:rsidR="00230F66">
              <w:rPr>
                <w:rFonts w:ascii="Segoe UI" w:hAnsi="Segoe UI" w:cs="Segoe UI"/>
                <w:sz w:val="20"/>
                <w:szCs w:val="20"/>
              </w:rPr>
              <w:t>eedlestick</w:t>
            </w:r>
            <w:r w:rsidR="00865EB7">
              <w:rPr>
                <w:rFonts w:ascii="Segoe UI" w:hAnsi="Segoe UI" w:cs="Segoe UI"/>
                <w:sz w:val="20"/>
                <w:szCs w:val="20"/>
              </w:rPr>
              <w:t>/</w:t>
            </w:r>
            <w:r w:rsidR="00230F66">
              <w:rPr>
                <w:rFonts w:ascii="Segoe UI" w:hAnsi="Segoe UI" w:cs="Segoe UI"/>
                <w:sz w:val="20"/>
                <w:szCs w:val="20"/>
              </w:rPr>
              <w:t>sharp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441C07ED" w14:textId="68EFA544" w:rsidR="00D14DC9" w:rsidRDefault="00D14DC9" w:rsidP="00D14DC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Staff, contractors</w:t>
            </w:r>
          </w:p>
          <w:p w14:paraId="0268E20C" w14:textId="77777777" w:rsidR="00D14DC9" w:rsidRDefault="00D14DC9" w:rsidP="00D14DC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0955DA4" w14:textId="3916C131" w:rsidR="00555B60" w:rsidRPr="00997870" w:rsidRDefault="00D14DC9" w:rsidP="00D14DC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Punctures and possibly contraction of blood-borne viruses, which might be linked to anxiety and stress.</w:t>
            </w:r>
          </w:p>
        </w:tc>
        <w:tc>
          <w:tcPr>
            <w:tcW w:w="4670" w:type="dxa"/>
          </w:tcPr>
          <w:p w14:paraId="716F4EEC" w14:textId="01D2581D" w:rsidR="001A755A" w:rsidRPr="00B76A30" w:rsidRDefault="001A755A" w:rsidP="001A755A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B76A30">
              <w:rPr>
                <w:rFonts w:ascii="Segoe UI" w:hAnsi="Segoe UI" w:cs="Segoe UI"/>
                <w:sz w:val="20"/>
                <w:szCs w:val="20"/>
              </w:rPr>
              <w:t xml:space="preserve">Mandatory Needlesticks </w:t>
            </w:r>
            <w:r w:rsidR="00100CA9">
              <w:rPr>
                <w:rFonts w:ascii="Segoe UI" w:hAnsi="Segoe UI" w:cs="Segoe UI"/>
                <w:sz w:val="20"/>
                <w:szCs w:val="20"/>
              </w:rPr>
              <w:t>e-</w:t>
            </w:r>
            <w:r w:rsidRPr="00B76A30">
              <w:rPr>
                <w:rFonts w:ascii="Segoe UI" w:hAnsi="Segoe UI" w:cs="Segoe UI"/>
                <w:sz w:val="20"/>
                <w:szCs w:val="20"/>
              </w:rPr>
              <w:t>learning for all staff who are likely to encounter needlesticks</w:t>
            </w:r>
            <w:r w:rsidR="00A55DF5">
              <w:rPr>
                <w:rFonts w:ascii="Segoe UI" w:hAnsi="Segoe UI" w:cs="Segoe UI"/>
                <w:sz w:val="20"/>
                <w:szCs w:val="20"/>
              </w:rPr>
              <w:t>/sharps</w:t>
            </w:r>
            <w:r w:rsidRPr="00B76A30">
              <w:rPr>
                <w:rFonts w:ascii="Segoe UI" w:hAnsi="Segoe UI" w:cs="Segoe UI"/>
                <w:sz w:val="20"/>
                <w:szCs w:val="20"/>
              </w:rPr>
              <w:t xml:space="preserve"> at work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(Module 1), including the hazard of hidden </w:t>
            </w:r>
            <w:r w:rsidR="00FD1CAC">
              <w:rPr>
                <w:rFonts w:ascii="Segoe UI" w:hAnsi="Segoe UI" w:cs="Segoe UI"/>
                <w:sz w:val="20"/>
                <w:szCs w:val="20"/>
              </w:rPr>
              <w:t>ones</w:t>
            </w:r>
            <w:r w:rsidR="00F50DE9">
              <w:rPr>
                <w:rFonts w:ascii="Segoe UI" w:hAnsi="Segoe UI" w:cs="Segoe UI"/>
                <w:sz w:val="20"/>
                <w:szCs w:val="20"/>
              </w:rPr>
              <w:t xml:space="preserve"> and how to reduce the </w:t>
            </w:r>
            <w:r w:rsidR="00A55DF5">
              <w:rPr>
                <w:rFonts w:ascii="Segoe UI" w:hAnsi="Segoe UI" w:cs="Segoe UI"/>
                <w:sz w:val="20"/>
                <w:szCs w:val="20"/>
              </w:rPr>
              <w:t xml:space="preserve">associated </w:t>
            </w:r>
            <w:r w:rsidR="00F50DE9">
              <w:rPr>
                <w:rFonts w:ascii="Segoe UI" w:hAnsi="Segoe UI" w:cs="Segoe UI"/>
                <w:sz w:val="20"/>
                <w:szCs w:val="20"/>
              </w:rPr>
              <w:t>risk</w:t>
            </w:r>
            <w:r w:rsidR="00100CA9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100CA9" w:rsidRPr="00B76A30">
              <w:rPr>
                <w:rFonts w:ascii="Segoe UI" w:hAnsi="Segoe UI" w:cs="Segoe UI"/>
                <w:sz w:val="20"/>
                <w:szCs w:val="20"/>
              </w:rPr>
              <w:t>or are responsible for their safe removal</w:t>
            </w:r>
            <w:r w:rsidR="00100CA9">
              <w:rPr>
                <w:rFonts w:ascii="Segoe UI" w:hAnsi="Segoe UI" w:cs="Segoe UI"/>
                <w:sz w:val="20"/>
                <w:szCs w:val="20"/>
              </w:rPr>
              <w:t xml:space="preserve"> (Module 2).</w:t>
            </w:r>
          </w:p>
          <w:p w14:paraId="7D3612AC" w14:textId="34BE062A" w:rsidR="0008087D" w:rsidRPr="00174B56" w:rsidRDefault="00F54375" w:rsidP="00174B56">
            <w:pPr>
              <w:pStyle w:val="ListParagraph"/>
              <w:numPr>
                <w:ilvl w:val="0"/>
                <w:numId w:val="22"/>
              </w:numPr>
              <w:ind w:left="193" w:hanging="193"/>
              <w:rPr>
                <w:rFonts w:ascii="Segoe UI" w:hAnsi="Segoe UI" w:cs="Segoe UI"/>
                <w:color w:val="FF0000"/>
                <w:sz w:val="20"/>
                <w:szCs w:val="20"/>
                <w:lang w:eastAsia="en-US"/>
              </w:rPr>
            </w:pPr>
            <w:r w:rsidRPr="00100CA9">
              <w:rPr>
                <w:rFonts w:ascii="Segoe UI" w:hAnsi="Segoe UI" w:cs="Segoe UI"/>
                <w:sz w:val="20"/>
                <w:szCs w:val="20"/>
              </w:rPr>
              <w:t xml:space="preserve">Safe systems of work are used for </w:t>
            </w:r>
            <w:r w:rsidR="00AA0DD7" w:rsidRPr="00100CA9">
              <w:rPr>
                <w:rFonts w:ascii="Segoe UI" w:hAnsi="Segoe UI" w:cs="Segoe UI"/>
                <w:sz w:val="20"/>
                <w:szCs w:val="20"/>
              </w:rPr>
              <w:t xml:space="preserve">work </w:t>
            </w:r>
            <w:r w:rsidRPr="00100CA9">
              <w:rPr>
                <w:rFonts w:ascii="Segoe UI" w:hAnsi="Segoe UI" w:cs="Segoe UI"/>
                <w:sz w:val="20"/>
                <w:szCs w:val="20"/>
              </w:rPr>
              <w:t xml:space="preserve">tasks like </w:t>
            </w:r>
            <w:r w:rsidR="00174B56">
              <w:rPr>
                <w:rFonts w:ascii="Segoe UI" w:hAnsi="Segoe UI" w:cs="Segoe UI"/>
                <w:sz w:val="20"/>
                <w:szCs w:val="20"/>
              </w:rPr>
              <w:t>removing rubbish</w:t>
            </w:r>
            <w:r w:rsidRPr="00100CA9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="00174B56">
              <w:rPr>
                <w:rFonts w:ascii="Segoe UI" w:hAnsi="Segoe UI" w:cs="Segoe UI"/>
                <w:sz w:val="20"/>
                <w:szCs w:val="20"/>
              </w:rPr>
              <w:t>clearing void properties</w:t>
            </w:r>
            <w:r w:rsidRPr="00100CA9">
              <w:rPr>
                <w:rFonts w:ascii="Segoe UI" w:hAnsi="Segoe UI" w:cs="Segoe UI"/>
                <w:sz w:val="20"/>
                <w:szCs w:val="20"/>
              </w:rPr>
              <w:t>, which</w:t>
            </w:r>
            <w:r w:rsidR="00174B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00CA9">
              <w:rPr>
                <w:rFonts w:ascii="Segoe UI" w:hAnsi="Segoe UI" w:cs="Segoe UI"/>
                <w:sz w:val="20"/>
                <w:szCs w:val="20"/>
              </w:rPr>
              <w:t xml:space="preserve">include </w:t>
            </w:r>
            <w:r w:rsidR="00174B56">
              <w:rPr>
                <w:rFonts w:ascii="Segoe UI" w:hAnsi="Segoe UI" w:cs="Segoe UI"/>
                <w:sz w:val="20"/>
                <w:szCs w:val="20"/>
              </w:rPr>
              <w:t xml:space="preserve">the wearing of PPE (as detailed above) and </w:t>
            </w:r>
            <w:r w:rsidRPr="00100CA9">
              <w:rPr>
                <w:rFonts w:ascii="Segoe UI" w:hAnsi="Segoe UI" w:cs="Segoe UI"/>
                <w:sz w:val="20"/>
                <w:szCs w:val="20"/>
              </w:rPr>
              <w:t>a</w:t>
            </w:r>
            <w:r w:rsidR="00AA0DD7" w:rsidRPr="00100CA9">
              <w:rPr>
                <w:rFonts w:ascii="Segoe UI" w:hAnsi="Segoe UI" w:cs="Segoe UI"/>
                <w:sz w:val="20"/>
                <w:szCs w:val="20"/>
              </w:rPr>
              <w:t>n initial</w:t>
            </w:r>
            <w:r w:rsidRPr="00100CA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00CA9">
              <w:rPr>
                <w:rFonts w:ascii="Segoe UI" w:hAnsi="Segoe UI" w:cs="Segoe UI"/>
                <w:sz w:val="20"/>
                <w:szCs w:val="20"/>
              </w:rPr>
              <w:t xml:space="preserve">visual inspection and </w:t>
            </w:r>
            <w:r w:rsidRPr="00100CA9">
              <w:rPr>
                <w:rFonts w:ascii="Segoe UI" w:hAnsi="Segoe UI" w:cs="Segoe UI"/>
                <w:sz w:val="20"/>
                <w:szCs w:val="20"/>
              </w:rPr>
              <w:t>needlestick sweep</w:t>
            </w:r>
            <w:r w:rsidR="002C5DFC" w:rsidRPr="00100CA9">
              <w:rPr>
                <w:rFonts w:ascii="Segoe UI" w:hAnsi="Segoe UI" w:cs="Segoe UI"/>
                <w:sz w:val="20"/>
                <w:szCs w:val="20"/>
              </w:rPr>
              <w:t xml:space="preserve"> to make sure the area is clear ahead of works</w:t>
            </w:r>
            <w:r w:rsidR="0057594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611" w:type="dxa"/>
          </w:tcPr>
          <w:p w14:paraId="1E77563C" w14:textId="77777777" w:rsidR="00555B60" w:rsidRPr="006B4429" w:rsidRDefault="00555B60" w:rsidP="00555B6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33403A7" w14:textId="77777777" w:rsidR="00555B60" w:rsidRPr="006B4429" w:rsidRDefault="00555B60" w:rsidP="00555B6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D7CFEEC" w14:textId="77777777" w:rsidR="00555B60" w:rsidRPr="006B4429" w:rsidRDefault="00555B60" w:rsidP="00555B6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1F4C9B19" w14:textId="77777777" w:rsidR="00555B60" w:rsidRPr="006B4429" w:rsidRDefault="00555B60" w:rsidP="00555B6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56075" w14:paraId="7EDBBDDD" w14:textId="77777777" w:rsidTr="001D5009">
        <w:trPr>
          <w:trHeight w:val="365"/>
        </w:trPr>
        <w:tc>
          <w:tcPr>
            <w:tcW w:w="2389" w:type="dxa"/>
          </w:tcPr>
          <w:p w14:paraId="6DBB84E3" w14:textId="201ED4C0" w:rsidR="00656075" w:rsidRDefault="00656075" w:rsidP="0065607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Needle</w:t>
            </w:r>
            <w:r w:rsidR="0099576C">
              <w:rPr>
                <w:rFonts w:ascii="Segoe UI" w:hAnsi="Segoe UI" w:cs="Segoe UI"/>
                <w:sz w:val="20"/>
                <w:szCs w:val="20"/>
              </w:rPr>
              <w:t>stick</w:t>
            </w:r>
            <w:r>
              <w:rPr>
                <w:rFonts w:ascii="Segoe UI" w:hAnsi="Segoe UI" w:cs="Segoe UI"/>
                <w:sz w:val="20"/>
                <w:szCs w:val="20"/>
              </w:rPr>
              <w:t>/sharp used as a weapon</w:t>
            </w:r>
          </w:p>
        </w:tc>
        <w:tc>
          <w:tcPr>
            <w:tcW w:w="2279" w:type="dxa"/>
          </w:tcPr>
          <w:p w14:paraId="5AF798D9" w14:textId="6D3DE2B3" w:rsidR="00FE5FBF" w:rsidRDefault="00FE5FBF" w:rsidP="00FE5FB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Staff, contractors, </w:t>
            </w:r>
            <w:r w:rsidR="00331891">
              <w:rPr>
                <w:rFonts w:ascii="Segoe UI" w:hAnsi="Segoe UI" w:cs="Segoe UI"/>
                <w:sz w:val="20"/>
                <w:szCs w:val="20"/>
              </w:rPr>
              <w:t>tenant</w:t>
            </w:r>
            <w:r>
              <w:rPr>
                <w:rFonts w:ascii="Segoe UI" w:hAnsi="Segoe UI" w:cs="Segoe UI"/>
                <w:sz w:val="20"/>
                <w:szCs w:val="20"/>
              </w:rPr>
              <w:t>s, visitors</w:t>
            </w:r>
          </w:p>
          <w:p w14:paraId="67AFA1FC" w14:textId="77777777" w:rsidR="00FE5FBF" w:rsidRDefault="00FE5FBF" w:rsidP="00FE5FBF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DE5F140" w14:textId="7956BD00" w:rsidR="00656075" w:rsidRDefault="00FE5FBF" w:rsidP="0065607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Punctures and possibly contraction of blood-borne viruses. Anxiety and stress linked to this, but also to the fear of </w:t>
            </w:r>
            <w:r w:rsidR="00656075">
              <w:rPr>
                <w:rFonts w:ascii="Segoe UI" w:hAnsi="Segoe UI" w:cs="Segoe UI"/>
                <w:sz w:val="20"/>
                <w:szCs w:val="20"/>
              </w:rPr>
              <w:t>being attacked</w:t>
            </w:r>
            <w:r>
              <w:rPr>
                <w:rFonts w:ascii="Segoe UI" w:hAnsi="Segoe UI" w:cs="Segoe UI"/>
                <w:sz w:val="20"/>
                <w:szCs w:val="20"/>
              </w:rPr>
              <w:t>/threatened.</w:t>
            </w:r>
          </w:p>
        </w:tc>
        <w:tc>
          <w:tcPr>
            <w:tcW w:w="4670" w:type="dxa"/>
          </w:tcPr>
          <w:p w14:paraId="59AF6390" w14:textId="65C28AA9" w:rsidR="002D6318" w:rsidRPr="00134052" w:rsidRDefault="002D6318" w:rsidP="00656075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134052">
              <w:rPr>
                <w:rFonts w:ascii="Segoe UI" w:hAnsi="Segoe UI" w:cs="Segoe UI"/>
                <w:sz w:val="20"/>
                <w:szCs w:val="20"/>
              </w:rPr>
              <w:t>Security measures in place at all sites</w:t>
            </w:r>
            <w:r w:rsidR="00685FAB" w:rsidRPr="00134052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3926CBFD" w14:textId="64C3D13E" w:rsidR="001F510D" w:rsidRDefault="006104CF" w:rsidP="001F510D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134052">
              <w:rPr>
                <w:rFonts w:ascii="Segoe UI" w:hAnsi="Segoe UI" w:cs="Segoe UI"/>
                <w:sz w:val="20"/>
                <w:szCs w:val="20"/>
              </w:rPr>
              <w:t>Relevant staff have received personal safety training</w:t>
            </w:r>
            <w:r w:rsidR="00592C2E" w:rsidRPr="00134052">
              <w:rPr>
                <w:rFonts w:ascii="Segoe UI" w:hAnsi="Segoe UI" w:cs="Segoe UI"/>
                <w:sz w:val="20"/>
                <w:szCs w:val="20"/>
              </w:rPr>
              <w:t xml:space="preserve">, which includes </w:t>
            </w:r>
            <w:r w:rsidR="00134052">
              <w:rPr>
                <w:rFonts w:ascii="Segoe UI" w:hAnsi="Segoe UI" w:cs="Segoe UI"/>
                <w:sz w:val="20"/>
                <w:szCs w:val="20"/>
              </w:rPr>
              <w:t xml:space="preserve">defusing conflict and </w:t>
            </w:r>
            <w:r w:rsidR="00592C2E" w:rsidRPr="00134052">
              <w:rPr>
                <w:rFonts w:ascii="Segoe UI" w:hAnsi="Segoe UI" w:cs="Segoe UI"/>
                <w:sz w:val="20"/>
                <w:szCs w:val="20"/>
              </w:rPr>
              <w:t xml:space="preserve">dealing with violent and aggressive </w:t>
            </w:r>
            <w:r w:rsidR="00331891">
              <w:rPr>
                <w:rFonts w:ascii="Segoe UI" w:hAnsi="Segoe UI" w:cs="Segoe UI"/>
                <w:sz w:val="20"/>
                <w:szCs w:val="20"/>
              </w:rPr>
              <w:t>tenant</w:t>
            </w:r>
            <w:r w:rsidR="00592C2E" w:rsidRPr="00134052">
              <w:rPr>
                <w:rFonts w:ascii="Segoe UI" w:hAnsi="Segoe UI" w:cs="Segoe UI"/>
                <w:sz w:val="20"/>
                <w:szCs w:val="20"/>
              </w:rPr>
              <w:t>s</w:t>
            </w:r>
            <w:r w:rsidR="00134052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3CDA184" w14:textId="1AB37213" w:rsidR="003C0578" w:rsidRPr="001F510D" w:rsidRDefault="003C0578" w:rsidP="001F510D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Relevant staff have access to Northgate, where they can check risk alert</w:t>
            </w:r>
            <w:r w:rsidR="003161F9">
              <w:rPr>
                <w:rFonts w:ascii="Segoe UI" w:hAnsi="Segoe UI" w:cs="Segoe UI"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raised against</w:t>
            </w:r>
            <w:r w:rsidR="003161F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31891">
              <w:rPr>
                <w:rFonts w:ascii="Segoe UI" w:hAnsi="Segoe UI" w:cs="Segoe UI"/>
                <w:sz w:val="20"/>
                <w:szCs w:val="20"/>
              </w:rPr>
              <w:t>tenant</w:t>
            </w:r>
            <w:r w:rsidR="003161F9">
              <w:rPr>
                <w:rFonts w:ascii="Segoe UI" w:hAnsi="Segoe UI" w:cs="Segoe UI"/>
                <w:sz w:val="20"/>
                <w:szCs w:val="20"/>
              </w:rPr>
              <w:t>s and put extra control measures in place accordingly</w:t>
            </w:r>
            <w:r w:rsidR="001210F4">
              <w:rPr>
                <w:rFonts w:ascii="Segoe UI" w:hAnsi="Segoe UI" w:cs="Segoe UI"/>
                <w:sz w:val="20"/>
                <w:szCs w:val="20"/>
              </w:rPr>
              <w:t xml:space="preserve"> before attending.</w:t>
            </w:r>
          </w:p>
          <w:p w14:paraId="52AFC793" w14:textId="6485EF8F" w:rsidR="00D92212" w:rsidRPr="00D92212" w:rsidRDefault="003F333E" w:rsidP="00D92212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sz w:val="20"/>
                <w:szCs w:val="20"/>
              </w:rPr>
            </w:pPr>
            <w:r w:rsidRPr="003F333E">
              <w:rPr>
                <w:rFonts w:ascii="Segoe UI" w:hAnsi="Segoe UI" w:cs="Segoe UI"/>
                <w:sz w:val="20"/>
                <w:szCs w:val="20"/>
              </w:rPr>
              <w:t>R</w:t>
            </w:r>
            <w:r w:rsidR="00656075" w:rsidRPr="003F333E">
              <w:rPr>
                <w:rFonts w:ascii="Segoe UI" w:hAnsi="Segoe UI" w:cs="Segoe UI"/>
                <w:sz w:val="20"/>
                <w:szCs w:val="20"/>
              </w:rPr>
              <w:t>eferral</w:t>
            </w:r>
            <w:r w:rsidR="00D92212">
              <w:rPr>
                <w:rFonts w:ascii="Segoe UI" w:hAnsi="Segoe UI" w:cs="Segoe UI"/>
                <w:sz w:val="20"/>
                <w:szCs w:val="20"/>
              </w:rPr>
              <w:t>/</w:t>
            </w:r>
            <w:r w:rsidRPr="003F333E">
              <w:rPr>
                <w:rFonts w:ascii="Segoe UI" w:hAnsi="Segoe UI" w:cs="Segoe UI"/>
                <w:sz w:val="20"/>
                <w:szCs w:val="20"/>
              </w:rPr>
              <w:t>self-referral</w:t>
            </w:r>
            <w:r w:rsidR="00656075" w:rsidRPr="003F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F333E">
              <w:rPr>
                <w:rFonts w:ascii="Segoe UI" w:hAnsi="Segoe UI" w:cs="Segoe UI"/>
                <w:sz w:val="20"/>
                <w:szCs w:val="20"/>
              </w:rPr>
              <w:t xml:space="preserve">process </w:t>
            </w:r>
            <w:r w:rsidR="00D92212">
              <w:rPr>
                <w:rFonts w:ascii="Segoe UI" w:hAnsi="Segoe UI" w:cs="Segoe UI"/>
                <w:sz w:val="20"/>
                <w:szCs w:val="20"/>
              </w:rPr>
              <w:t>helps to</w:t>
            </w:r>
            <w:r w:rsidRPr="003F333E">
              <w:rPr>
                <w:rFonts w:ascii="Segoe UI" w:hAnsi="Segoe UI" w:cs="Segoe UI"/>
                <w:sz w:val="20"/>
                <w:szCs w:val="20"/>
              </w:rPr>
              <w:t xml:space="preserve"> highlight existing risks prior to giving</w:t>
            </w:r>
            <w:r w:rsidR="00656075" w:rsidRPr="003F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31891">
              <w:rPr>
                <w:rFonts w:ascii="Segoe UI" w:hAnsi="Segoe UI" w:cs="Segoe UI"/>
                <w:sz w:val="20"/>
                <w:szCs w:val="20"/>
              </w:rPr>
              <w:t>tenant</w:t>
            </w:r>
            <w:r w:rsidR="00656075" w:rsidRPr="003F333E">
              <w:rPr>
                <w:rFonts w:ascii="Segoe UI" w:hAnsi="Segoe UI" w:cs="Segoe UI"/>
                <w:sz w:val="20"/>
                <w:szCs w:val="20"/>
              </w:rPr>
              <w:t xml:space="preserve">s </w:t>
            </w:r>
            <w:r w:rsidRPr="003F333E">
              <w:rPr>
                <w:rFonts w:ascii="Segoe UI" w:hAnsi="Segoe UI" w:cs="Segoe UI"/>
                <w:sz w:val="20"/>
                <w:szCs w:val="20"/>
              </w:rPr>
              <w:t>access to o</w:t>
            </w:r>
            <w:r w:rsidR="00F4617B" w:rsidRPr="003F333E">
              <w:rPr>
                <w:rFonts w:ascii="Segoe UI" w:hAnsi="Segoe UI" w:cs="Segoe UI"/>
                <w:sz w:val="20"/>
                <w:szCs w:val="20"/>
              </w:rPr>
              <w:t xml:space="preserve">ur </w:t>
            </w:r>
            <w:r w:rsidR="00656075" w:rsidRPr="003F333E">
              <w:rPr>
                <w:rFonts w:ascii="Segoe UI" w:hAnsi="Segoe UI" w:cs="Segoe UI"/>
                <w:sz w:val="20"/>
                <w:szCs w:val="20"/>
              </w:rPr>
              <w:t>service</w:t>
            </w:r>
            <w:r w:rsidR="00F4617B" w:rsidRPr="003F333E">
              <w:rPr>
                <w:rFonts w:ascii="Segoe UI" w:hAnsi="Segoe UI" w:cs="Segoe UI"/>
                <w:sz w:val="20"/>
                <w:szCs w:val="20"/>
              </w:rPr>
              <w:t>s</w:t>
            </w:r>
            <w:r w:rsidR="000E22CD">
              <w:rPr>
                <w:rFonts w:ascii="Segoe UI" w:hAnsi="Segoe UI" w:cs="Segoe UI"/>
                <w:sz w:val="20"/>
                <w:szCs w:val="20"/>
              </w:rPr>
              <w:t xml:space="preserve"> (e.g. known violent or aggressive behaviours).</w:t>
            </w:r>
          </w:p>
          <w:p w14:paraId="0964F69A" w14:textId="2CD7950D" w:rsidR="001210F4" w:rsidRPr="00685FAB" w:rsidRDefault="001210F4" w:rsidP="00F127CE">
            <w:pPr>
              <w:pStyle w:val="ListParagraph"/>
              <w:numPr>
                <w:ilvl w:val="0"/>
                <w:numId w:val="25"/>
              </w:numPr>
              <w:ind w:left="178" w:hanging="141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FF4CF6">
              <w:rPr>
                <w:rFonts w:ascii="Segoe UI" w:hAnsi="Segoe UI" w:cs="Segoe UI"/>
                <w:sz w:val="20"/>
                <w:szCs w:val="20"/>
              </w:rPr>
              <w:lastRenderedPageBreak/>
              <w:t>Accidents and near misses are recorded on the Health &amp; Safety Incident Reporting portal.</w:t>
            </w:r>
          </w:p>
        </w:tc>
        <w:tc>
          <w:tcPr>
            <w:tcW w:w="2611" w:type="dxa"/>
          </w:tcPr>
          <w:p w14:paraId="015516F7" w14:textId="77777777" w:rsidR="00656075" w:rsidRPr="006B4429" w:rsidRDefault="00656075" w:rsidP="0065607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385EAADE" w14:textId="77777777" w:rsidR="00656075" w:rsidRPr="006B4429" w:rsidRDefault="00656075" w:rsidP="0065607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2CDD5C7" w14:textId="77777777" w:rsidR="00656075" w:rsidRPr="006B4429" w:rsidRDefault="00656075" w:rsidP="0065607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D8EEB0A" w14:textId="77777777" w:rsidR="00656075" w:rsidRPr="006B4429" w:rsidRDefault="00656075" w:rsidP="0065607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E1BFB14" w14:textId="77777777" w:rsidR="00DA2DAE" w:rsidRPr="00DA2DAE" w:rsidRDefault="00DA2DAE" w:rsidP="00CC167F">
      <w:pPr>
        <w:rPr>
          <w:rFonts w:ascii="Segoe UI" w:hAnsi="Segoe UI" w:cs="Segoe UI"/>
          <w:sz w:val="28"/>
          <w:szCs w:val="28"/>
        </w:rPr>
      </w:pPr>
    </w:p>
    <w:sectPr w:rsidR="00DA2DAE" w:rsidRPr="00DA2DAE" w:rsidSect="00400D58">
      <w:headerReference w:type="default" r:id="rId8"/>
      <w:footerReference w:type="default" r:id="rId9"/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E187" w14:textId="77777777" w:rsidR="00DD6F34" w:rsidRDefault="00DD6F34" w:rsidP="00DA2DAE">
      <w:r>
        <w:separator/>
      </w:r>
    </w:p>
  </w:endnote>
  <w:endnote w:type="continuationSeparator" w:id="0">
    <w:p w14:paraId="6C553B59" w14:textId="77777777" w:rsidR="00DD6F34" w:rsidRDefault="00DD6F34" w:rsidP="00DA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4472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B17DABA" w14:textId="64D5F159" w:rsidR="006B4429" w:rsidRDefault="006B4429" w:rsidP="00767BF9">
            <w:pPr>
              <w:pStyle w:val="Footer"/>
            </w:pPr>
          </w:p>
          <w:p w14:paraId="0D2EFDC5" w14:textId="77777777" w:rsidR="006B4429" w:rsidRDefault="006B4429" w:rsidP="00767BF9">
            <w:pPr>
              <w:pStyle w:val="Footer"/>
            </w:pPr>
          </w:p>
          <w:p w14:paraId="0D323E88" w14:textId="1F715E4B" w:rsidR="00AA6415" w:rsidRPr="008969DF" w:rsidRDefault="008969DF">
            <w:pPr>
              <w:pStyle w:val="Foo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969DF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PAGE </w:instrText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Pr="008969D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969DF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NUMPAGES  </w:instrText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Pr="008969D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</w:t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  <w:t xml:space="preserve">       </w:t>
            </w:r>
            <w:r w:rsidRPr="008969DF">
              <w:rPr>
                <w:rFonts w:ascii="Segoe UI" w:hAnsi="Segoe UI" w:cs="Segoe UI"/>
                <w:sz w:val="20"/>
                <w:szCs w:val="20"/>
              </w:rPr>
              <w:t>v. 1.0 (December 2024)</w:t>
            </w:r>
            <w:r w:rsidRPr="008969D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                       </w:t>
            </w:r>
          </w:p>
        </w:sdtContent>
      </w:sdt>
    </w:sdtContent>
  </w:sdt>
  <w:p w14:paraId="5B959E54" w14:textId="77777777" w:rsidR="00FA055E" w:rsidRDefault="00FA0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82B9" w14:textId="77777777" w:rsidR="00DD6F34" w:rsidRDefault="00DD6F34" w:rsidP="00DA2DAE">
      <w:r>
        <w:separator/>
      </w:r>
    </w:p>
  </w:footnote>
  <w:footnote w:type="continuationSeparator" w:id="0">
    <w:p w14:paraId="372EB19A" w14:textId="77777777" w:rsidR="00DD6F34" w:rsidRDefault="00DD6F34" w:rsidP="00DA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CCC9" w14:textId="1C32D4F1" w:rsidR="00DA2DAE" w:rsidRPr="006B4429" w:rsidRDefault="00400D5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163B57" wp14:editId="1BEB2E54">
          <wp:simplePos x="0" y="0"/>
          <wp:positionH relativeFrom="column">
            <wp:posOffset>7216775</wp:posOffset>
          </wp:positionH>
          <wp:positionV relativeFrom="paragraph">
            <wp:posOffset>-381635</wp:posOffset>
          </wp:positionV>
          <wp:extent cx="2438400" cy="771144"/>
          <wp:effectExtent l="0" t="0" r="0" b="0"/>
          <wp:wrapTight wrapText="bothSides">
            <wp:wrapPolygon edited="0">
              <wp:start x="0" y="0"/>
              <wp:lineTo x="0" y="20817"/>
              <wp:lineTo x="21431" y="20817"/>
              <wp:lineTo x="21431" y="0"/>
              <wp:lineTo x="0" y="0"/>
            </wp:wrapPolygon>
          </wp:wrapTight>
          <wp:docPr id="318938968" name="Picture 318938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dlandHeart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71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2DD">
      <w:rPr>
        <w:rFonts w:ascii="Segoe UI" w:hAnsi="Segoe UI" w:cs="Segoe U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CC1"/>
    <w:multiLevelType w:val="hybridMultilevel"/>
    <w:tmpl w:val="D1F6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444D"/>
    <w:multiLevelType w:val="hybridMultilevel"/>
    <w:tmpl w:val="DE72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76E9"/>
    <w:multiLevelType w:val="hybridMultilevel"/>
    <w:tmpl w:val="4E64C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4DE"/>
    <w:multiLevelType w:val="hybridMultilevel"/>
    <w:tmpl w:val="B3F8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85200"/>
    <w:multiLevelType w:val="hybridMultilevel"/>
    <w:tmpl w:val="41500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6CD2"/>
    <w:multiLevelType w:val="hybridMultilevel"/>
    <w:tmpl w:val="E1F62E94"/>
    <w:lvl w:ilvl="0" w:tplc="37B46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603DC"/>
    <w:multiLevelType w:val="hybridMultilevel"/>
    <w:tmpl w:val="8CD4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6F8"/>
    <w:multiLevelType w:val="hybridMultilevel"/>
    <w:tmpl w:val="F6A4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04B3"/>
    <w:multiLevelType w:val="hybridMultilevel"/>
    <w:tmpl w:val="0148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1418"/>
    <w:multiLevelType w:val="hybridMultilevel"/>
    <w:tmpl w:val="0BC2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6B6E"/>
    <w:multiLevelType w:val="hybridMultilevel"/>
    <w:tmpl w:val="5536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70AF"/>
    <w:multiLevelType w:val="hybridMultilevel"/>
    <w:tmpl w:val="52F03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6014B6"/>
    <w:multiLevelType w:val="hybridMultilevel"/>
    <w:tmpl w:val="7BB8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2981"/>
    <w:multiLevelType w:val="hybridMultilevel"/>
    <w:tmpl w:val="063C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76A42"/>
    <w:multiLevelType w:val="hybridMultilevel"/>
    <w:tmpl w:val="62AA8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41670"/>
    <w:multiLevelType w:val="hybridMultilevel"/>
    <w:tmpl w:val="2A5E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3000C"/>
    <w:multiLevelType w:val="hybridMultilevel"/>
    <w:tmpl w:val="FBF6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A74C9"/>
    <w:multiLevelType w:val="hybridMultilevel"/>
    <w:tmpl w:val="1804B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24136D"/>
    <w:multiLevelType w:val="hybridMultilevel"/>
    <w:tmpl w:val="CF300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2F6AC3"/>
    <w:multiLevelType w:val="hybridMultilevel"/>
    <w:tmpl w:val="ABCC2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2F745B"/>
    <w:multiLevelType w:val="hybridMultilevel"/>
    <w:tmpl w:val="3374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F735B"/>
    <w:multiLevelType w:val="hybridMultilevel"/>
    <w:tmpl w:val="85E8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619FB"/>
    <w:multiLevelType w:val="hybridMultilevel"/>
    <w:tmpl w:val="C93A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95BC3"/>
    <w:multiLevelType w:val="hybridMultilevel"/>
    <w:tmpl w:val="13BEB324"/>
    <w:lvl w:ilvl="0" w:tplc="0524A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03A72"/>
    <w:multiLevelType w:val="hybridMultilevel"/>
    <w:tmpl w:val="DACE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01389">
    <w:abstractNumId w:val="4"/>
  </w:num>
  <w:num w:numId="2" w16cid:durableId="281227753">
    <w:abstractNumId w:val="0"/>
  </w:num>
  <w:num w:numId="3" w16cid:durableId="920914650">
    <w:abstractNumId w:val="9"/>
  </w:num>
  <w:num w:numId="4" w16cid:durableId="466554961">
    <w:abstractNumId w:val="7"/>
  </w:num>
  <w:num w:numId="5" w16cid:durableId="763770405">
    <w:abstractNumId w:val="16"/>
  </w:num>
  <w:num w:numId="6" w16cid:durableId="1707754996">
    <w:abstractNumId w:val="24"/>
  </w:num>
  <w:num w:numId="7" w16cid:durableId="1733845841">
    <w:abstractNumId w:val="2"/>
  </w:num>
  <w:num w:numId="8" w16cid:durableId="1818454943">
    <w:abstractNumId w:val="1"/>
  </w:num>
  <w:num w:numId="9" w16cid:durableId="848788408">
    <w:abstractNumId w:val="17"/>
  </w:num>
  <w:num w:numId="10" w16cid:durableId="1641113608">
    <w:abstractNumId w:val="13"/>
  </w:num>
  <w:num w:numId="11" w16cid:durableId="1972052771">
    <w:abstractNumId w:val="3"/>
  </w:num>
  <w:num w:numId="12" w16cid:durableId="1331836432">
    <w:abstractNumId w:val="14"/>
  </w:num>
  <w:num w:numId="13" w16cid:durableId="1631978803">
    <w:abstractNumId w:val="20"/>
  </w:num>
  <w:num w:numId="14" w16cid:durableId="589314315">
    <w:abstractNumId w:val="12"/>
  </w:num>
  <w:num w:numId="15" w16cid:durableId="1979188784">
    <w:abstractNumId w:val="6"/>
  </w:num>
  <w:num w:numId="16" w16cid:durableId="1040204323">
    <w:abstractNumId w:val="21"/>
  </w:num>
  <w:num w:numId="17" w16cid:durableId="1867056083">
    <w:abstractNumId w:val="15"/>
  </w:num>
  <w:num w:numId="18" w16cid:durableId="1750883893">
    <w:abstractNumId w:val="19"/>
  </w:num>
  <w:num w:numId="19" w16cid:durableId="742947505">
    <w:abstractNumId w:val="10"/>
  </w:num>
  <w:num w:numId="20" w16cid:durableId="428427589">
    <w:abstractNumId w:val="11"/>
  </w:num>
  <w:num w:numId="21" w16cid:durableId="477039512">
    <w:abstractNumId w:val="18"/>
  </w:num>
  <w:num w:numId="22" w16cid:durableId="1993364654">
    <w:abstractNumId w:val="23"/>
  </w:num>
  <w:num w:numId="23" w16cid:durableId="920944587">
    <w:abstractNumId w:val="22"/>
  </w:num>
  <w:num w:numId="24" w16cid:durableId="1437287489">
    <w:abstractNumId w:val="8"/>
  </w:num>
  <w:num w:numId="25" w16cid:durableId="111442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AE"/>
    <w:rsid w:val="000017F0"/>
    <w:rsid w:val="00015A3A"/>
    <w:rsid w:val="00021A30"/>
    <w:rsid w:val="00024409"/>
    <w:rsid w:val="00027FA2"/>
    <w:rsid w:val="00043499"/>
    <w:rsid w:val="00044CAE"/>
    <w:rsid w:val="00047874"/>
    <w:rsid w:val="000559CF"/>
    <w:rsid w:val="0006088C"/>
    <w:rsid w:val="00061435"/>
    <w:rsid w:val="00075A4A"/>
    <w:rsid w:val="00077A46"/>
    <w:rsid w:val="0008087D"/>
    <w:rsid w:val="00091134"/>
    <w:rsid w:val="00092AF9"/>
    <w:rsid w:val="0009341A"/>
    <w:rsid w:val="000A23C3"/>
    <w:rsid w:val="000B14AE"/>
    <w:rsid w:val="000B1A86"/>
    <w:rsid w:val="000C3278"/>
    <w:rsid w:val="000D4F5A"/>
    <w:rsid w:val="000D7DAA"/>
    <w:rsid w:val="000E22CD"/>
    <w:rsid w:val="000E7D47"/>
    <w:rsid w:val="000F2B78"/>
    <w:rsid w:val="000F64E7"/>
    <w:rsid w:val="00100CA9"/>
    <w:rsid w:val="0010298D"/>
    <w:rsid w:val="001071C6"/>
    <w:rsid w:val="00107221"/>
    <w:rsid w:val="00117087"/>
    <w:rsid w:val="001210F4"/>
    <w:rsid w:val="00134052"/>
    <w:rsid w:val="001518CF"/>
    <w:rsid w:val="00152806"/>
    <w:rsid w:val="001567FB"/>
    <w:rsid w:val="00157647"/>
    <w:rsid w:val="00157B9E"/>
    <w:rsid w:val="001655E0"/>
    <w:rsid w:val="00174497"/>
    <w:rsid w:val="00174B56"/>
    <w:rsid w:val="001754A4"/>
    <w:rsid w:val="00181FF6"/>
    <w:rsid w:val="00186C1C"/>
    <w:rsid w:val="00192B0A"/>
    <w:rsid w:val="001931A9"/>
    <w:rsid w:val="001951AF"/>
    <w:rsid w:val="001A755A"/>
    <w:rsid w:val="001A7624"/>
    <w:rsid w:val="001D5009"/>
    <w:rsid w:val="001E0A62"/>
    <w:rsid w:val="001E6995"/>
    <w:rsid w:val="001F510D"/>
    <w:rsid w:val="00201B7D"/>
    <w:rsid w:val="00204896"/>
    <w:rsid w:val="00205BBA"/>
    <w:rsid w:val="00213F61"/>
    <w:rsid w:val="0022248E"/>
    <w:rsid w:val="00222A17"/>
    <w:rsid w:val="00225355"/>
    <w:rsid w:val="00230F66"/>
    <w:rsid w:val="00234BA6"/>
    <w:rsid w:val="002C5DFC"/>
    <w:rsid w:val="002D6318"/>
    <w:rsid w:val="002F11ED"/>
    <w:rsid w:val="002F137F"/>
    <w:rsid w:val="002F2951"/>
    <w:rsid w:val="002F7FB5"/>
    <w:rsid w:val="00300915"/>
    <w:rsid w:val="00302B03"/>
    <w:rsid w:val="00302EF3"/>
    <w:rsid w:val="00312791"/>
    <w:rsid w:val="0031463D"/>
    <w:rsid w:val="003161F9"/>
    <w:rsid w:val="003177B0"/>
    <w:rsid w:val="00322EEF"/>
    <w:rsid w:val="00325F7E"/>
    <w:rsid w:val="00331891"/>
    <w:rsid w:val="003363BF"/>
    <w:rsid w:val="00342319"/>
    <w:rsid w:val="00362720"/>
    <w:rsid w:val="00370F97"/>
    <w:rsid w:val="003720FE"/>
    <w:rsid w:val="00372996"/>
    <w:rsid w:val="00373987"/>
    <w:rsid w:val="00374A6F"/>
    <w:rsid w:val="00381FA5"/>
    <w:rsid w:val="00385EA1"/>
    <w:rsid w:val="00397626"/>
    <w:rsid w:val="003C0578"/>
    <w:rsid w:val="003C1BA3"/>
    <w:rsid w:val="003D1CC0"/>
    <w:rsid w:val="003D5BB4"/>
    <w:rsid w:val="003F333E"/>
    <w:rsid w:val="00400D58"/>
    <w:rsid w:val="0040512D"/>
    <w:rsid w:val="0041179C"/>
    <w:rsid w:val="00411D57"/>
    <w:rsid w:val="00412917"/>
    <w:rsid w:val="00413366"/>
    <w:rsid w:val="004172E4"/>
    <w:rsid w:val="00424866"/>
    <w:rsid w:val="00434702"/>
    <w:rsid w:val="0046063C"/>
    <w:rsid w:val="004609E8"/>
    <w:rsid w:val="004827EA"/>
    <w:rsid w:val="004914D3"/>
    <w:rsid w:val="004B78F0"/>
    <w:rsid w:val="004B7B66"/>
    <w:rsid w:val="004D07CF"/>
    <w:rsid w:val="005038DB"/>
    <w:rsid w:val="00511FBE"/>
    <w:rsid w:val="005223B5"/>
    <w:rsid w:val="005243F1"/>
    <w:rsid w:val="005311CA"/>
    <w:rsid w:val="005347D3"/>
    <w:rsid w:val="005359F7"/>
    <w:rsid w:val="00536A33"/>
    <w:rsid w:val="005446A7"/>
    <w:rsid w:val="00555B60"/>
    <w:rsid w:val="00562B8B"/>
    <w:rsid w:val="00567023"/>
    <w:rsid w:val="00575943"/>
    <w:rsid w:val="00585640"/>
    <w:rsid w:val="00592C2E"/>
    <w:rsid w:val="00594225"/>
    <w:rsid w:val="005A1057"/>
    <w:rsid w:val="005B0C83"/>
    <w:rsid w:val="005B24A5"/>
    <w:rsid w:val="005D2D2C"/>
    <w:rsid w:val="005D3BB1"/>
    <w:rsid w:val="005F0453"/>
    <w:rsid w:val="005F2E10"/>
    <w:rsid w:val="0060054A"/>
    <w:rsid w:val="00610086"/>
    <w:rsid w:val="006104CF"/>
    <w:rsid w:val="0061527D"/>
    <w:rsid w:val="006160F0"/>
    <w:rsid w:val="00622BB4"/>
    <w:rsid w:val="006237F4"/>
    <w:rsid w:val="00624EC7"/>
    <w:rsid w:val="0064442C"/>
    <w:rsid w:val="006449EC"/>
    <w:rsid w:val="00652FB5"/>
    <w:rsid w:val="00656075"/>
    <w:rsid w:val="00666150"/>
    <w:rsid w:val="006700C7"/>
    <w:rsid w:val="00671DE6"/>
    <w:rsid w:val="00685FAB"/>
    <w:rsid w:val="006A7DC9"/>
    <w:rsid w:val="006B4429"/>
    <w:rsid w:val="006C40CC"/>
    <w:rsid w:val="006C735C"/>
    <w:rsid w:val="006C7E78"/>
    <w:rsid w:val="006F4CE2"/>
    <w:rsid w:val="00700E02"/>
    <w:rsid w:val="0070765A"/>
    <w:rsid w:val="00721CF9"/>
    <w:rsid w:val="00731676"/>
    <w:rsid w:val="00741F27"/>
    <w:rsid w:val="00742972"/>
    <w:rsid w:val="007543C8"/>
    <w:rsid w:val="007608D4"/>
    <w:rsid w:val="00763F58"/>
    <w:rsid w:val="00767BF9"/>
    <w:rsid w:val="007778D6"/>
    <w:rsid w:val="007912B6"/>
    <w:rsid w:val="007B04A0"/>
    <w:rsid w:val="007B5EF7"/>
    <w:rsid w:val="007C1E61"/>
    <w:rsid w:val="007C3FA4"/>
    <w:rsid w:val="007C5F85"/>
    <w:rsid w:val="007D35E7"/>
    <w:rsid w:val="007D647B"/>
    <w:rsid w:val="007D6FE7"/>
    <w:rsid w:val="007E52DD"/>
    <w:rsid w:val="00814CEB"/>
    <w:rsid w:val="00817671"/>
    <w:rsid w:val="00822F45"/>
    <w:rsid w:val="0082445A"/>
    <w:rsid w:val="008267F7"/>
    <w:rsid w:val="00835AA0"/>
    <w:rsid w:val="00841595"/>
    <w:rsid w:val="008503C8"/>
    <w:rsid w:val="008555E1"/>
    <w:rsid w:val="00861A6D"/>
    <w:rsid w:val="00865714"/>
    <w:rsid w:val="00865EB7"/>
    <w:rsid w:val="00880CD8"/>
    <w:rsid w:val="008900AF"/>
    <w:rsid w:val="008969DF"/>
    <w:rsid w:val="008A7D90"/>
    <w:rsid w:val="008B4822"/>
    <w:rsid w:val="008E2B25"/>
    <w:rsid w:val="008E7D15"/>
    <w:rsid w:val="008F1A14"/>
    <w:rsid w:val="008F2C60"/>
    <w:rsid w:val="008F7D0D"/>
    <w:rsid w:val="009173C3"/>
    <w:rsid w:val="00940142"/>
    <w:rsid w:val="00961DED"/>
    <w:rsid w:val="00976FF0"/>
    <w:rsid w:val="00994DFD"/>
    <w:rsid w:val="009955E3"/>
    <w:rsid w:val="0099576C"/>
    <w:rsid w:val="00996E8C"/>
    <w:rsid w:val="00997870"/>
    <w:rsid w:val="009A21D8"/>
    <w:rsid w:val="009B28D7"/>
    <w:rsid w:val="009B2B1F"/>
    <w:rsid w:val="009C4C93"/>
    <w:rsid w:val="009C5204"/>
    <w:rsid w:val="009D1B0D"/>
    <w:rsid w:val="009D4FAC"/>
    <w:rsid w:val="009E2CC7"/>
    <w:rsid w:val="009E7D18"/>
    <w:rsid w:val="009F3BE6"/>
    <w:rsid w:val="00A043D5"/>
    <w:rsid w:val="00A05066"/>
    <w:rsid w:val="00A121AB"/>
    <w:rsid w:val="00A30A9E"/>
    <w:rsid w:val="00A339EB"/>
    <w:rsid w:val="00A35F27"/>
    <w:rsid w:val="00A41C2E"/>
    <w:rsid w:val="00A55DF5"/>
    <w:rsid w:val="00A563E3"/>
    <w:rsid w:val="00A77FE5"/>
    <w:rsid w:val="00A87E59"/>
    <w:rsid w:val="00A9080D"/>
    <w:rsid w:val="00A94DA2"/>
    <w:rsid w:val="00AA0DD7"/>
    <w:rsid w:val="00AA6415"/>
    <w:rsid w:val="00AD0263"/>
    <w:rsid w:val="00AE3B70"/>
    <w:rsid w:val="00AE5DF0"/>
    <w:rsid w:val="00AE607A"/>
    <w:rsid w:val="00AE799E"/>
    <w:rsid w:val="00B0193D"/>
    <w:rsid w:val="00B04C06"/>
    <w:rsid w:val="00B05C94"/>
    <w:rsid w:val="00B15911"/>
    <w:rsid w:val="00B247DE"/>
    <w:rsid w:val="00B54709"/>
    <w:rsid w:val="00B54999"/>
    <w:rsid w:val="00B6696B"/>
    <w:rsid w:val="00B73A1A"/>
    <w:rsid w:val="00B76A30"/>
    <w:rsid w:val="00B817CB"/>
    <w:rsid w:val="00B92A74"/>
    <w:rsid w:val="00B97B4A"/>
    <w:rsid w:val="00BA4F32"/>
    <w:rsid w:val="00BC3B7A"/>
    <w:rsid w:val="00BC453E"/>
    <w:rsid w:val="00BC7B71"/>
    <w:rsid w:val="00BD2D16"/>
    <w:rsid w:val="00BD6C48"/>
    <w:rsid w:val="00BE2D4B"/>
    <w:rsid w:val="00BE2F41"/>
    <w:rsid w:val="00BE6B47"/>
    <w:rsid w:val="00BE73D1"/>
    <w:rsid w:val="00BF0FEB"/>
    <w:rsid w:val="00BF7787"/>
    <w:rsid w:val="00C0392D"/>
    <w:rsid w:val="00C048F0"/>
    <w:rsid w:val="00C10664"/>
    <w:rsid w:val="00C10CF7"/>
    <w:rsid w:val="00C27E24"/>
    <w:rsid w:val="00C3006C"/>
    <w:rsid w:val="00C45FFF"/>
    <w:rsid w:val="00C60FD2"/>
    <w:rsid w:val="00C676FF"/>
    <w:rsid w:val="00C70BA2"/>
    <w:rsid w:val="00C84E22"/>
    <w:rsid w:val="00C9052F"/>
    <w:rsid w:val="00C92C66"/>
    <w:rsid w:val="00CA0EC7"/>
    <w:rsid w:val="00CA7124"/>
    <w:rsid w:val="00CB1373"/>
    <w:rsid w:val="00CC167F"/>
    <w:rsid w:val="00CC679B"/>
    <w:rsid w:val="00CF0185"/>
    <w:rsid w:val="00CF0335"/>
    <w:rsid w:val="00D10D3B"/>
    <w:rsid w:val="00D14DC9"/>
    <w:rsid w:val="00D246C7"/>
    <w:rsid w:val="00D47CA7"/>
    <w:rsid w:val="00D533D5"/>
    <w:rsid w:val="00D55F0E"/>
    <w:rsid w:val="00D76C89"/>
    <w:rsid w:val="00D92212"/>
    <w:rsid w:val="00D93994"/>
    <w:rsid w:val="00D94C3B"/>
    <w:rsid w:val="00D96647"/>
    <w:rsid w:val="00DA2DAE"/>
    <w:rsid w:val="00DB55ED"/>
    <w:rsid w:val="00DD6F34"/>
    <w:rsid w:val="00DF02FE"/>
    <w:rsid w:val="00DF3B92"/>
    <w:rsid w:val="00DF50F1"/>
    <w:rsid w:val="00DF5EC5"/>
    <w:rsid w:val="00E038AC"/>
    <w:rsid w:val="00E11A21"/>
    <w:rsid w:val="00E1739F"/>
    <w:rsid w:val="00E2518D"/>
    <w:rsid w:val="00E35B01"/>
    <w:rsid w:val="00E40BCF"/>
    <w:rsid w:val="00E5461E"/>
    <w:rsid w:val="00E54DA5"/>
    <w:rsid w:val="00E61217"/>
    <w:rsid w:val="00E65957"/>
    <w:rsid w:val="00E6657B"/>
    <w:rsid w:val="00E66793"/>
    <w:rsid w:val="00E670B5"/>
    <w:rsid w:val="00E7157B"/>
    <w:rsid w:val="00E82505"/>
    <w:rsid w:val="00E876B9"/>
    <w:rsid w:val="00EA3FCD"/>
    <w:rsid w:val="00EA7500"/>
    <w:rsid w:val="00EB3402"/>
    <w:rsid w:val="00EC10B1"/>
    <w:rsid w:val="00EC39C9"/>
    <w:rsid w:val="00EC7B2A"/>
    <w:rsid w:val="00ED26FD"/>
    <w:rsid w:val="00EF1113"/>
    <w:rsid w:val="00EF24FB"/>
    <w:rsid w:val="00EF659E"/>
    <w:rsid w:val="00F0151F"/>
    <w:rsid w:val="00F127CE"/>
    <w:rsid w:val="00F175E9"/>
    <w:rsid w:val="00F4617B"/>
    <w:rsid w:val="00F50DE9"/>
    <w:rsid w:val="00F5101F"/>
    <w:rsid w:val="00F51C8F"/>
    <w:rsid w:val="00F53D56"/>
    <w:rsid w:val="00F54375"/>
    <w:rsid w:val="00F562BF"/>
    <w:rsid w:val="00F57DED"/>
    <w:rsid w:val="00F72BD9"/>
    <w:rsid w:val="00FA055E"/>
    <w:rsid w:val="00FA4313"/>
    <w:rsid w:val="00FC3D3B"/>
    <w:rsid w:val="00FD1CAC"/>
    <w:rsid w:val="00FE5FBF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82334"/>
  <w15:chartTrackingRefBased/>
  <w15:docId w15:val="{AC7BE9AD-27D2-4772-B237-C2A6412E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FBF"/>
    <w:rPr>
      <w:rFonts w:ascii="Trebuchet MS" w:hAnsi="Trebuchet MS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2DAE"/>
    <w:rPr>
      <w:rFonts w:ascii="Trebuchet MS" w:hAnsi="Trebuchet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DAE"/>
    <w:rPr>
      <w:rFonts w:ascii="Trebuchet MS" w:hAnsi="Trebuchet MS"/>
      <w:sz w:val="22"/>
      <w:szCs w:val="24"/>
    </w:rPr>
  </w:style>
  <w:style w:type="table" w:styleId="TableGrid">
    <w:name w:val="Table Grid"/>
    <w:basedOn w:val="TableNormal"/>
    <w:rsid w:val="00DA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A05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DA5"/>
    <w:pPr>
      <w:spacing w:before="60" w:after="60"/>
      <w:ind w:left="720"/>
      <w:contextualSpacing/>
    </w:pPr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AA6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6415"/>
    <w:rPr>
      <w:rFonts w:ascii="Segoe UI" w:hAnsi="Segoe UI" w:cs="Segoe UI"/>
      <w:sz w:val="18"/>
      <w:szCs w:val="18"/>
    </w:rPr>
  </w:style>
  <w:style w:type="character" w:customStyle="1" w:styleId="y0nh2b">
    <w:name w:val="y0nh2b"/>
    <w:basedOn w:val="DefaultParagraphFont"/>
    <w:rsid w:val="005311CA"/>
  </w:style>
  <w:style w:type="paragraph" w:styleId="Revision">
    <w:name w:val="Revision"/>
    <w:hidden/>
    <w:uiPriority w:val="99"/>
    <w:semiHidden/>
    <w:rsid w:val="00192B0A"/>
    <w:rPr>
      <w:rFonts w:ascii="Trebuchet MS" w:hAnsi="Trebuchet MS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CB13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B1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1373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1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373"/>
    <w:rPr>
      <w:rFonts w:ascii="Trebuchet MS" w:hAnsi="Trebuchet M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1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8020-66EA-4630-945E-CE1AD206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4</Pages>
  <Words>730</Words>
  <Characters>4052</Characters>
  <Application>Microsoft Office Word</Application>
  <DocSecurity>0</DocSecurity>
  <Lines>192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Heart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Gibbons</dc:creator>
  <cp:keywords/>
  <dc:description/>
  <cp:lastModifiedBy>Bethany Weaver</cp:lastModifiedBy>
  <cp:revision>112</cp:revision>
  <cp:lastPrinted>2018-01-24T10:46:00Z</cp:lastPrinted>
  <dcterms:created xsi:type="dcterms:W3CDTF">2024-07-10T13:45:00Z</dcterms:created>
  <dcterms:modified xsi:type="dcterms:W3CDTF">2026-06-23T07:48:00Z</dcterms:modified>
</cp:coreProperties>
</file>